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2A2" w:rsidRPr="002C213F" w:rsidRDefault="000B3BF3" w:rsidP="001622A2">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#86-Bis</w:t>
      </w:r>
      <w:r>
        <w:rPr>
          <w:rFonts w:ascii="Arial" w:hAnsi="Arial" w:cs="Arial"/>
          <w:b/>
          <w:sz w:val="24"/>
          <w:szCs w:val="24"/>
          <w:lang w:val="de-DE"/>
        </w:rPr>
        <w:tab/>
      </w:r>
      <w:r w:rsidRPr="00CA7495">
        <w:rPr>
          <w:rFonts w:ascii="Arial" w:hAnsi="Arial" w:cs="Arial"/>
          <w:b/>
          <w:sz w:val="24"/>
          <w:szCs w:val="24"/>
          <w:lang w:val="de-DE"/>
        </w:rPr>
        <w:t>R4</w:t>
      </w:r>
      <w:r w:rsidR="001622A2" w:rsidRPr="00CA7495">
        <w:rPr>
          <w:rFonts w:ascii="Arial" w:hAnsi="Arial" w:cs="Arial"/>
          <w:b/>
          <w:sz w:val="24"/>
          <w:szCs w:val="24"/>
          <w:lang w:val="de-DE"/>
        </w:rPr>
        <w:t>-1</w:t>
      </w:r>
      <w:r w:rsidR="005819D9">
        <w:rPr>
          <w:rFonts w:ascii="Arial" w:hAnsi="Arial" w:cs="Arial"/>
          <w:b/>
          <w:sz w:val="24"/>
          <w:szCs w:val="24"/>
          <w:lang w:val="de-DE"/>
        </w:rPr>
        <w:t>80</w:t>
      </w:r>
      <w:r>
        <w:rPr>
          <w:rFonts w:ascii="Arial" w:hAnsi="Arial" w:cs="Arial"/>
          <w:b/>
          <w:sz w:val="24"/>
          <w:szCs w:val="24"/>
          <w:lang w:val="de-DE"/>
        </w:rPr>
        <w:t>4126</w:t>
      </w:r>
      <w:r w:rsidR="001622A2">
        <w:rPr>
          <w:rFonts w:ascii="Arial" w:hAnsi="Arial" w:cs="Arial"/>
          <w:b/>
          <w:sz w:val="24"/>
          <w:szCs w:val="24"/>
          <w:lang w:val="de-DE"/>
        </w:rPr>
        <w:br/>
      </w:r>
      <w:r w:rsidR="005737F5">
        <w:rPr>
          <w:rFonts w:ascii="Arial" w:hAnsi="Arial" w:cs="Arial"/>
          <w:b/>
          <w:sz w:val="24"/>
          <w:szCs w:val="24"/>
        </w:rPr>
        <w:t>Melbourne</w:t>
      </w:r>
      <w:r w:rsidR="005737F5" w:rsidRPr="002C213F">
        <w:rPr>
          <w:rFonts w:ascii="Arial" w:hAnsi="Arial" w:cs="Arial"/>
          <w:b/>
          <w:sz w:val="24"/>
          <w:szCs w:val="24"/>
        </w:rPr>
        <w:t xml:space="preserve">, </w:t>
      </w:r>
      <w:r w:rsidR="005737F5">
        <w:rPr>
          <w:rFonts w:ascii="Arial" w:hAnsi="Arial" w:cs="Arial"/>
          <w:b/>
          <w:sz w:val="24"/>
          <w:szCs w:val="24"/>
        </w:rPr>
        <w:t>Australia</w:t>
      </w:r>
      <w:r w:rsidR="005737F5" w:rsidRPr="002C213F">
        <w:rPr>
          <w:rFonts w:ascii="Arial" w:hAnsi="Arial" w:cs="Arial"/>
          <w:b/>
          <w:sz w:val="24"/>
          <w:szCs w:val="24"/>
        </w:rPr>
        <w:t xml:space="preserve">, </w:t>
      </w:r>
      <w:r w:rsidR="005737F5">
        <w:rPr>
          <w:rFonts w:ascii="Arial" w:hAnsi="Arial" w:cs="Arial"/>
          <w:b/>
          <w:sz w:val="24"/>
          <w:szCs w:val="24"/>
        </w:rPr>
        <w:t xml:space="preserve">April 16 </w:t>
      </w:r>
      <w:r w:rsidR="005737F5" w:rsidRPr="002C213F">
        <w:rPr>
          <w:rFonts w:ascii="Arial" w:hAnsi="Arial" w:cs="Arial"/>
          <w:b/>
          <w:sz w:val="24"/>
          <w:szCs w:val="24"/>
        </w:rPr>
        <w:t xml:space="preserve">– </w:t>
      </w:r>
      <w:r w:rsidR="005737F5">
        <w:rPr>
          <w:rFonts w:ascii="Arial" w:hAnsi="Arial" w:cs="Arial"/>
          <w:b/>
          <w:sz w:val="24"/>
          <w:szCs w:val="24"/>
        </w:rPr>
        <w:t>April 20</w:t>
      </w:r>
      <w:r w:rsidR="005737F5" w:rsidRPr="002C213F">
        <w:rPr>
          <w:rFonts w:ascii="Arial" w:hAnsi="Arial" w:cs="Arial"/>
          <w:b/>
          <w:sz w:val="24"/>
          <w:szCs w:val="24"/>
        </w:rPr>
        <w:t>, 201</w:t>
      </w:r>
      <w:r w:rsidR="005737F5">
        <w:rPr>
          <w:rFonts w:ascii="Arial" w:hAnsi="Arial" w:cs="Arial"/>
          <w:b/>
          <w:sz w:val="24"/>
          <w:szCs w:val="24"/>
        </w:rPr>
        <w:t>8</w:t>
      </w:r>
    </w:p>
    <w:p w:rsidR="001622A2" w:rsidRPr="0008103A" w:rsidRDefault="001622A2" w:rsidP="001622A2">
      <w:pPr>
        <w:rPr>
          <w:rFonts w:ascii="Arial" w:hAnsi="Arial" w:cs="Arial"/>
          <w:b/>
          <w:sz w:val="24"/>
          <w:szCs w:val="24"/>
        </w:rPr>
      </w:pPr>
    </w:p>
    <w:p w:rsidR="001622A2" w:rsidRPr="0008103A" w:rsidRDefault="001622A2" w:rsidP="001622A2">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Pr>
          <w:rFonts w:ascii="Arial" w:hAnsi="Arial" w:cs="Arial"/>
          <w:b/>
          <w:sz w:val="24"/>
          <w:szCs w:val="24"/>
        </w:rPr>
        <w:t>7.4.</w:t>
      </w:r>
      <w:r w:rsidR="00EC4EFE">
        <w:rPr>
          <w:rFonts w:ascii="Arial" w:hAnsi="Arial" w:cs="Arial"/>
          <w:b/>
          <w:sz w:val="24"/>
          <w:szCs w:val="24"/>
        </w:rPr>
        <w:t>1</w:t>
      </w:r>
      <w:r w:rsidR="000B3BF3">
        <w:rPr>
          <w:rFonts w:ascii="Arial" w:hAnsi="Arial" w:cs="Arial"/>
          <w:b/>
          <w:sz w:val="24"/>
          <w:szCs w:val="24"/>
        </w:rPr>
        <w:t>1</w:t>
      </w:r>
      <w:r w:rsidR="00EC4EFE">
        <w:rPr>
          <w:rFonts w:ascii="Arial" w:hAnsi="Arial" w:cs="Arial"/>
          <w:b/>
          <w:sz w:val="24"/>
          <w:szCs w:val="24"/>
        </w:rPr>
        <w:t>.1</w:t>
      </w:r>
    </w:p>
    <w:p w:rsidR="001622A2" w:rsidRPr="0008103A" w:rsidRDefault="007D5BE7" w:rsidP="001622A2">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rsidR="001622A2" w:rsidRPr="0008103A" w:rsidRDefault="001622A2" w:rsidP="001622A2">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5819D9">
        <w:rPr>
          <w:rFonts w:ascii="Arial" w:hAnsi="Arial" w:cs="Arial"/>
          <w:b/>
          <w:sz w:val="24"/>
          <w:szCs w:val="24"/>
        </w:rPr>
        <w:t xml:space="preserve">FR2 REFSENS for FWA </w:t>
      </w:r>
      <w:r w:rsidR="000B3BF3">
        <w:rPr>
          <w:rFonts w:ascii="Arial" w:hAnsi="Arial" w:cs="Arial"/>
          <w:b/>
          <w:sz w:val="24"/>
          <w:szCs w:val="24"/>
        </w:rPr>
        <w:t>UE</w:t>
      </w:r>
    </w:p>
    <w:p w:rsidR="001622A2" w:rsidRPr="0008103A" w:rsidRDefault="001622A2" w:rsidP="001622A2">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5737F5">
        <w:rPr>
          <w:rFonts w:ascii="Arial" w:hAnsi="Arial" w:cs="Arial"/>
          <w:b/>
          <w:sz w:val="24"/>
          <w:szCs w:val="24"/>
        </w:rPr>
        <w:t>Approval</w:t>
      </w:r>
    </w:p>
    <w:p w:rsidR="00EC4EFE" w:rsidRDefault="00EC4EFE" w:rsidP="00EC4EFE">
      <w:pPr>
        <w:pStyle w:val="Heading1"/>
      </w:pPr>
      <w:r w:rsidRPr="00647B25">
        <w:t>1</w:t>
      </w:r>
      <w:r w:rsidRPr="00647B25">
        <w:tab/>
        <w:t>Introduction</w:t>
      </w:r>
    </w:p>
    <w:p w:rsidR="006D0D71" w:rsidRPr="00374936" w:rsidRDefault="0098041C" w:rsidP="006D0D71">
      <w:pPr>
        <w:rPr>
          <w:rFonts w:eastAsia="Batang"/>
        </w:rPr>
      </w:pPr>
      <w:r>
        <w:rPr>
          <w:rFonts w:eastAsia="Batang"/>
        </w:rPr>
        <w:t xml:space="preserve">The FR2 power class and REFSENS requirements for handheld UEs </w:t>
      </w:r>
      <w:r w:rsidR="006D0D71" w:rsidRPr="00374936">
        <w:rPr>
          <w:rFonts w:eastAsia="Batang"/>
        </w:rPr>
        <w:t xml:space="preserve">have </w:t>
      </w:r>
      <w:r>
        <w:rPr>
          <w:rFonts w:eastAsia="Batang"/>
        </w:rPr>
        <w:t xml:space="preserve">been heavily discussed </w:t>
      </w:r>
      <w:r w:rsidR="006D0D71" w:rsidRPr="00374936">
        <w:rPr>
          <w:rFonts w:eastAsia="Batang"/>
        </w:rPr>
        <w:t>over the last m</w:t>
      </w:r>
      <w:r>
        <w:rPr>
          <w:rFonts w:eastAsia="Batang"/>
        </w:rPr>
        <w:t>eeting</w:t>
      </w:r>
      <w:r w:rsidR="006D0D71" w:rsidRPr="00374936">
        <w:rPr>
          <w:rFonts w:eastAsia="Batang"/>
        </w:rPr>
        <w:t xml:space="preserve">s. </w:t>
      </w:r>
      <w:r w:rsidR="006D0D71">
        <w:rPr>
          <w:rFonts w:eastAsia="Batang"/>
        </w:rPr>
        <w:t>While ranges for both</w:t>
      </w:r>
      <w:r w:rsidR="006D0D71" w:rsidRPr="00374936">
        <w:rPr>
          <w:rFonts w:eastAsia="Batang"/>
        </w:rPr>
        <w:t xml:space="preserve"> </w:t>
      </w:r>
      <w:r>
        <w:rPr>
          <w:rFonts w:eastAsia="Batang"/>
        </w:rPr>
        <w:t xml:space="preserve">minimum </w:t>
      </w:r>
      <w:r w:rsidR="006D0D71" w:rsidRPr="00374936">
        <w:rPr>
          <w:rFonts w:eastAsia="Batang"/>
        </w:rPr>
        <w:t xml:space="preserve">peak EIRP </w:t>
      </w:r>
      <w:r w:rsidR="006D0D71">
        <w:rPr>
          <w:rFonts w:eastAsia="Batang"/>
        </w:rPr>
        <w:t xml:space="preserve">and </w:t>
      </w:r>
      <w:r>
        <w:rPr>
          <w:rFonts w:eastAsia="Batang"/>
        </w:rPr>
        <w:t xml:space="preserve">minimum beam </w:t>
      </w:r>
      <w:r w:rsidR="006D0D71">
        <w:rPr>
          <w:rFonts w:eastAsia="Batang"/>
        </w:rPr>
        <w:t xml:space="preserve">peak EIS </w:t>
      </w:r>
      <w:r w:rsidR="006D0D71" w:rsidRPr="00374936">
        <w:rPr>
          <w:rFonts w:eastAsia="Batang"/>
        </w:rPr>
        <w:t xml:space="preserve">were agreed in [1] </w:t>
      </w:r>
      <w:r w:rsidR="006D0D71">
        <w:rPr>
          <w:rFonts w:eastAsia="Batang"/>
        </w:rPr>
        <w:t xml:space="preserve">and [2], </w:t>
      </w:r>
      <w:r w:rsidR="006D0D71" w:rsidRPr="00374936">
        <w:rPr>
          <w:rFonts w:eastAsia="Batang"/>
        </w:rPr>
        <w:t>no consensus has been found to finalize the requirement</w:t>
      </w:r>
      <w:r w:rsidR="006D0D71">
        <w:rPr>
          <w:rFonts w:eastAsia="Batang"/>
        </w:rPr>
        <w:t>s</w:t>
      </w:r>
      <w:r w:rsidR="006D0D71" w:rsidRPr="00374936">
        <w:rPr>
          <w:rFonts w:eastAsia="Batang"/>
        </w:rPr>
        <w:t xml:space="preserve"> [3</w:t>
      </w:r>
      <w:r>
        <w:rPr>
          <w:rFonts w:eastAsia="Batang"/>
        </w:rPr>
        <w:t>-5</w:t>
      </w:r>
      <w:r w:rsidR="006D0D71" w:rsidRPr="00374936">
        <w:rPr>
          <w:rFonts w:eastAsia="Batang"/>
        </w:rPr>
        <w:t xml:space="preserve">]. </w:t>
      </w:r>
      <w:r w:rsidR="00E43A07">
        <w:rPr>
          <w:rFonts w:eastAsia="Batang"/>
        </w:rPr>
        <w:t>During the AH-1801 meeting, a</w:t>
      </w:r>
      <w:r w:rsidR="00646096">
        <w:rPr>
          <w:rFonts w:eastAsia="Batang"/>
        </w:rPr>
        <w:t xml:space="preserve"> new </w:t>
      </w:r>
      <w:r w:rsidR="006D0D71" w:rsidRPr="00374936">
        <w:rPr>
          <w:rFonts w:eastAsia="Batang"/>
        </w:rPr>
        <w:t>UE type for fixed wireless access (FWA) devices was introduced</w:t>
      </w:r>
      <w:r w:rsidR="003151B0">
        <w:rPr>
          <w:rFonts w:eastAsia="Batang"/>
        </w:rPr>
        <w:t xml:space="preserve"> </w:t>
      </w:r>
      <w:r w:rsidR="006D0D71" w:rsidRPr="00374936">
        <w:rPr>
          <w:rFonts w:eastAsia="Batang"/>
        </w:rPr>
        <w:t>[</w:t>
      </w:r>
      <w:r w:rsidR="00E43A07">
        <w:rPr>
          <w:rFonts w:eastAsia="Batang"/>
        </w:rPr>
        <w:t>6</w:t>
      </w:r>
      <w:r w:rsidR="006D0D71" w:rsidRPr="00374936">
        <w:rPr>
          <w:rFonts w:eastAsia="Batang"/>
        </w:rPr>
        <w:t>]</w:t>
      </w:r>
      <w:r w:rsidR="00E43A07">
        <w:rPr>
          <w:rFonts w:eastAsia="Batang"/>
        </w:rPr>
        <w:t xml:space="preserve"> and in RAN4 #86 [7] an alignment table for peak EIS was approved. </w:t>
      </w:r>
      <w:r w:rsidR="008D1CA3">
        <w:rPr>
          <w:rFonts w:eastAsia="Batang"/>
        </w:rPr>
        <w:t>T</w:t>
      </w:r>
      <w:r w:rsidR="006D0D71">
        <w:rPr>
          <w:rFonts w:eastAsia="Batang"/>
        </w:rPr>
        <w:t xml:space="preserve">he plan </w:t>
      </w:r>
      <w:r w:rsidR="008D1CA3">
        <w:rPr>
          <w:rFonts w:eastAsia="Batang"/>
        </w:rPr>
        <w:t xml:space="preserve">for Rel-15 is to target </w:t>
      </w:r>
      <w:r w:rsidR="00646096">
        <w:rPr>
          <w:rFonts w:eastAsia="Batang"/>
        </w:rPr>
        <w:t xml:space="preserve">power class and REFSENS </w:t>
      </w:r>
      <w:r w:rsidR="008D1CA3">
        <w:rPr>
          <w:rFonts w:eastAsia="Batang"/>
        </w:rPr>
        <w:t>requirements for</w:t>
      </w:r>
      <w:r w:rsidR="00F22CBF">
        <w:rPr>
          <w:rFonts w:eastAsia="Batang"/>
        </w:rPr>
        <w:t xml:space="preserve"> both handheld and FWA UE types.</w:t>
      </w:r>
      <w:r w:rsidR="00E43A07">
        <w:rPr>
          <w:rFonts w:eastAsia="Batang"/>
        </w:rPr>
        <w:t xml:space="preserve"> </w:t>
      </w:r>
    </w:p>
    <w:p w:rsidR="00E43A07" w:rsidRDefault="006D0D71" w:rsidP="003151B0">
      <w:pPr>
        <w:spacing w:after="200"/>
        <w:rPr>
          <w:rFonts w:eastAsia="Batang"/>
        </w:rPr>
      </w:pPr>
      <w:r w:rsidRPr="00374936">
        <w:rPr>
          <w:rFonts w:eastAsia="Batang"/>
        </w:rPr>
        <w:t xml:space="preserve">This paper </w:t>
      </w:r>
      <w:r>
        <w:rPr>
          <w:rFonts w:eastAsia="Batang"/>
        </w:rPr>
        <w:t>summariz</w:t>
      </w:r>
      <w:r w:rsidRPr="00374936">
        <w:rPr>
          <w:rFonts w:eastAsia="Batang"/>
        </w:rPr>
        <w:t xml:space="preserve">es the </w:t>
      </w:r>
      <w:r w:rsidR="008D1CA3">
        <w:rPr>
          <w:rFonts w:eastAsia="Batang"/>
        </w:rPr>
        <w:t xml:space="preserve">latest </w:t>
      </w:r>
      <w:r>
        <w:rPr>
          <w:rFonts w:eastAsia="Batang"/>
        </w:rPr>
        <w:t xml:space="preserve">FR2 REFSENS </w:t>
      </w:r>
      <w:r w:rsidRPr="00374936">
        <w:rPr>
          <w:rFonts w:eastAsia="Batang"/>
        </w:rPr>
        <w:t>agree</w:t>
      </w:r>
      <w:r>
        <w:rPr>
          <w:rFonts w:eastAsia="Batang"/>
        </w:rPr>
        <w:t>ments</w:t>
      </w:r>
      <w:r w:rsidR="00E43A07">
        <w:rPr>
          <w:rFonts w:eastAsia="Batang"/>
        </w:rPr>
        <w:t xml:space="preserve"> for FWA devices, and presents an example evaluation of the peak EIS requirement for approval.</w:t>
      </w:r>
      <w:r w:rsidRPr="00374936">
        <w:rPr>
          <w:rFonts w:eastAsia="Batang"/>
        </w:rPr>
        <w:t xml:space="preserve"> </w:t>
      </w:r>
    </w:p>
    <w:p w:rsidR="00EC4EFE" w:rsidRDefault="00EC4EFE" w:rsidP="00EC4EFE">
      <w:pPr>
        <w:pStyle w:val="Heading1"/>
        <w:rPr>
          <w:rFonts w:eastAsia="Batang"/>
        </w:rPr>
      </w:pPr>
      <w:r>
        <w:rPr>
          <w:rFonts w:eastAsia="Batang"/>
        </w:rPr>
        <w:t>2</w:t>
      </w:r>
      <w:r>
        <w:rPr>
          <w:rFonts w:eastAsia="Batang"/>
        </w:rPr>
        <w:tab/>
        <w:t>Discussion</w:t>
      </w:r>
    </w:p>
    <w:p w:rsidR="00EC4EFE" w:rsidRDefault="00EC4EFE" w:rsidP="00EC4EFE">
      <w:pPr>
        <w:pStyle w:val="Heading2"/>
        <w:rPr>
          <w:rFonts w:eastAsia="Batang"/>
        </w:rPr>
      </w:pPr>
      <w:r>
        <w:rPr>
          <w:rFonts w:eastAsia="Batang"/>
        </w:rPr>
        <w:t>2.1</w:t>
      </w:r>
      <w:r>
        <w:rPr>
          <w:rFonts w:eastAsia="Batang"/>
        </w:rPr>
        <w:tab/>
        <w:t>Background</w:t>
      </w:r>
    </w:p>
    <w:p w:rsidR="00F16C26" w:rsidRDefault="00F16C26" w:rsidP="003151B0">
      <w:pPr>
        <w:spacing w:before="320" w:after="0"/>
        <w:rPr>
          <w:rFonts w:eastAsia="Batang"/>
          <w:noProof/>
          <w:lang w:val="en-US" w:eastAsia="en-US"/>
        </w:rPr>
      </w:pPr>
      <w:r>
        <w:rPr>
          <w:rFonts w:eastAsia="Batang"/>
        </w:rPr>
        <w:t xml:space="preserve">With the deadline for Rel-15 fast approaching, </w:t>
      </w:r>
      <w:r w:rsidR="00361747">
        <w:rPr>
          <w:rFonts w:eastAsia="Batang"/>
        </w:rPr>
        <w:t>defini</w:t>
      </w:r>
      <w:r w:rsidR="00075311">
        <w:rPr>
          <w:rFonts w:eastAsia="Batang"/>
        </w:rPr>
        <w:t>tion of</w:t>
      </w:r>
      <w:r w:rsidR="00361747">
        <w:rPr>
          <w:rFonts w:eastAsia="Batang"/>
        </w:rPr>
        <w:t xml:space="preserve"> </w:t>
      </w:r>
      <w:r>
        <w:rPr>
          <w:rFonts w:eastAsia="Batang"/>
        </w:rPr>
        <w:t xml:space="preserve">FR2 REFSENS </w:t>
      </w:r>
      <w:r w:rsidR="00361747">
        <w:rPr>
          <w:rFonts w:eastAsia="Batang"/>
        </w:rPr>
        <w:t>requirements</w:t>
      </w:r>
      <w:r>
        <w:rPr>
          <w:rFonts w:eastAsia="Batang"/>
        </w:rPr>
        <w:t xml:space="preserve"> need to be </w:t>
      </w:r>
      <w:r w:rsidR="00361747">
        <w:rPr>
          <w:rFonts w:eastAsia="Batang"/>
        </w:rPr>
        <w:t>concluded</w:t>
      </w:r>
      <w:r>
        <w:rPr>
          <w:rFonts w:eastAsia="Batang"/>
        </w:rPr>
        <w:t>. Thus far, the discussions have focused on the requirements for handheld UE</w:t>
      </w:r>
      <w:r w:rsidR="00361747">
        <w:rPr>
          <w:rFonts w:eastAsia="Batang"/>
        </w:rPr>
        <w:t xml:space="preserve"> type</w:t>
      </w:r>
      <w:r>
        <w:rPr>
          <w:rFonts w:eastAsia="Batang"/>
        </w:rPr>
        <w:t>. Even though a final peak EIS value has not been agreed on</w:t>
      </w:r>
      <w:r w:rsidR="00361747">
        <w:rPr>
          <w:rFonts w:eastAsia="Batang"/>
        </w:rPr>
        <w:t xml:space="preserve"> [</w:t>
      </w:r>
      <w:r w:rsidR="00E43A07">
        <w:rPr>
          <w:rFonts w:eastAsia="Batang"/>
        </w:rPr>
        <w:t>8</w:t>
      </w:r>
      <w:r w:rsidR="00361747">
        <w:rPr>
          <w:rFonts w:eastAsia="Batang"/>
        </w:rPr>
        <w:t>]</w:t>
      </w:r>
      <w:bookmarkStart w:id="0" w:name="_GoBack"/>
      <w:bookmarkEnd w:id="0"/>
      <w:r>
        <w:rPr>
          <w:rFonts w:eastAsia="Batang"/>
        </w:rPr>
        <w:t>, a range of peak EIS was approved [2].</w:t>
      </w:r>
    </w:p>
    <w:p w:rsidR="00F16C26" w:rsidRPr="0061155A" w:rsidRDefault="00F16C26" w:rsidP="00F16C26">
      <w:pPr>
        <w:spacing w:after="0"/>
        <w:rPr>
          <w:rFonts w:eastAsia="Batang"/>
          <w:lang w:val="en-US"/>
        </w:rPr>
      </w:pPr>
    </w:p>
    <w:p w:rsidR="00EC4EFE" w:rsidRDefault="00EC4EFE" w:rsidP="00361747">
      <w:pPr>
        <w:spacing w:before="60" w:after="60"/>
        <w:rPr>
          <w:rFonts w:eastAsia="Batang"/>
        </w:rPr>
      </w:pPr>
      <w:r>
        <w:rPr>
          <w:rFonts w:eastAsia="Batang"/>
        </w:rPr>
        <w:t>Meeting report for RAN4 #84Bis [</w:t>
      </w:r>
      <w:r w:rsidR="00E43A07">
        <w:rPr>
          <w:rFonts w:eastAsia="Batang"/>
        </w:rPr>
        <w:t>8</w:t>
      </w:r>
      <w:r>
        <w:rPr>
          <w:rFonts w:eastAsia="Batang"/>
        </w:rPr>
        <w:t>]:</w:t>
      </w:r>
    </w:p>
    <w:p w:rsidR="00EC4EFE" w:rsidRDefault="00EC4EFE" w:rsidP="00EC4EFE">
      <w:pPr>
        <w:spacing w:after="0"/>
        <w:rPr>
          <w:rFonts w:eastAsia="Batang"/>
        </w:rPr>
      </w:pPr>
      <w:r w:rsidRPr="002674E6">
        <w:rPr>
          <w:rFonts w:eastAsia="Batang"/>
          <w:noProof/>
          <w:lang w:val="en-US" w:eastAsia="en-US"/>
        </w:rPr>
        <mc:AlternateContent>
          <mc:Choice Requires="wps">
            <w:drawing>
              <wp:inline distT="0" distB="0" distL="0" distR="0" wp14:anchorId="7E01D980" wp14:editId="28020534">
                <wp:extent cx="5924550" cy="523875"/>
                <wp:effectExtent l="0" t="0" r="19050" b="2857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523875"/>
                        </a:xfrm>
                        <a:prstGeom prst="rect">
                          <a:avLst/>
                        </a:prstGeom>
                        <a:solidFill>
                          <a:srgbClr val="FFFFFF"/>
                        </a:solidFill>
                        <a:ln w="9525">
                          <a:solidFill>
                            <a:srgbClr val="000000"/>
                          </a:solidFill>
                          <a:miter lim="800000"/>
                          <a:headEnd/>
                          <a:tailEnd/>
                        </a:ln>
                      </wps:spPr>
                      <wps:txbx>
                        <w:txbxContent>
                          <w:p w:rsidR="00685CBE" w:rsidRPr="001A5B06" w:rsidRDefault="00685CBE" w:rsidP="00EC4EFE">
                            <w:pPr>
                              <w:pStyle w:val="ListParagraph"/>
                              <w:numPr>
                                <w:ilvl w:val="0"/>
                                <w:numId w:val="3"/>
                              </w:numPr>
                              <w:overflowPunct/>
                              <w:autoSpaceDE/>
                              <w:autoSpaceDN/>
                              <w:adjustRightInd/>
                              <w:spacing w:after="0" w:line="259" w:lineRule="auto"/>
                              <w:ind w:left="360"/>
                              <w:textAlignment w:val="auto"/>
                              <w:rPr>
                                <w:sz w:val="18"/>
                              </w:rPr>
                            </w:pPr>
                            <w:r w:rsidRPr="001A5B06">
                              <w:rPr>
                                <w:rFonts w:eastAsia="Batang"/>
                                <w:sz w:val="18"/>
                              </w:rPr>
                              <w:t xml:space="preserve">Chair asked if an average of the reported values </w:t>
                            </w:r>
                            <w:r w:rsidRPr="001A5B06">
                              <w:rPr>
                                <w:rFonts w:eastAsia="Batang"/>
                                <w:b/>
                                <w:sz w:val="18"/>
                              </w:rPr>
                              <w:t>-94. 2</w:t>
                            </w:r>
                            <w:r w:rsidRPr="001A5B06">
                              <w:rPr>
                                <w:rFonts w:eastAsia="Batang"/>
                                <w:sz w:val="18"/>
                              </w:rPr>
                              <w:t xml:space="preserve"> could be taken as possible agreement for 50 MHz channel bandwidth for n257 and n258</w:t>
                            </w:r>
                          </w:p>
                          <w:p w:rsidR="00685CBE" w:rsidRPr="001A5B06" w:rsidRDefault="00685CBE" w:rsidP="00EC4EFE">
                            <w:pPr>
                              <w:pStyle w:val="ListParagraph"/>
                              <w:numPr>
                                <w:ilvl w:val="1"/>
                                <w:numId w:val="3"/>
                              </w:numPr>
                              <w:spacing w:after="0" w:line="259" w:lineRule="auto"/>
                              <w:ind w:left="1080"/>
                              <w:rPr>
                                <w:sz w:val="18"/>
                                <w:lang w:val="en-US"/>
                              </w:rPr>
                            </w:pPr>
                            <w:r w:rsidRPr="001A5B06">
                              <w:rPr>
                                <w:bCs/>
                                <w:sz w:val="18"/>
                                <w:lang w:val="en-US"/>
                              </w:rPr>
                              <w:t>Companies expressed needing time to discuss this number</w:t>
                            </w:r>
                          </w:p>
                        </w:txbxContent>
                      </wps:txbx>
                      <wps:bodyPr rot="0" vert="horz" wrap="square" lIns="91440" tIns="45720" rIns="91440" bIns="45720" anchor="t" anchorCtr="0" upright="1">
                        <a:noAutofit/>
                      </wps:bodyPr>
                    </wps:wsp>
                  </a:graphicData>
                </a:graphic>
              </wp:inline>
            </w:drawing>
          </mc:Choice>
          <mc:Fallback>
            <w:pict>
              <v:shapetype w14:anchorId="7E01D980" id="_x0000_t202" coordsize="21600,21600" o:spt="202" path="m,l,21600r21600,l21600,xe">
                <v:stroke joinstyle="miter"/>
                <v:path gradientshapeok="t" o:connecttype="rect"/>
              </v:shapetype>
              <v:shape id="Text Box 9" o:spid="_x0000_s1026" type="#_x0000_t202" style="width:466.5pt;height:4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">
                <v:textbox>
                  <w:txbxContent>
                    <w:p w:rsidR="00685CBE" w:rsidRPr="001A5B06" w:rsidRDefault="00685CBE" w:rsidP="00EC4EFE">
                      <w:pPr>
                        <w:pStyle w:val="ListParagraph"/>
                        <w:numPr>
                          <w:ilvl w:val="0"/>
                          <w:numId w:val="3"/>
                        </w:numPr>
                        <w:overflowPunct/>
                        <w:autoSpaceDE/>
                        <w:autoSpaceDN/>
                        <w:adjustRightInd/>
                        <w:spacing w:after="0" w:line="259" w:lineRule="auto"/>
                        <w:ind w:left="360"/>
                        <w:textAlignment w:val="auto"/>
                        <w:rPr>
                          <w:sz w:val="18"/>
                        </w:rPr>
                      </w:pPr>
                      <w:r w:rsidRPr="001A5B06">
                        <w:rPr>
                          <w:rFonts w:eastAsia="Batang"/>
                          <w:sz w:val="18"/>
                        </w:rPr>
                        <w:t xml:space="preserve">Chair asked if an average of the reported values </w:t>
                      </w:r>
                      <w:r w:rsidRPr="001A5B06">
                        <w:rPr>
                          <w:rFonts w:eastAsia="Batang"/>
                          <w:b/>
                          <w:sz w:val="18"/>
                        </w:rPr>
                        <w:t>-94. 2</w:t>
                      </w:r>
                      <w:r w:rsidRPr="001A5B06">
                        <w:rPr>
                          <w:rFonts w:eastAsia="Batang"/>
                          <w:sz w:val="18"/>
                        </w:rPr>
                        <w:t xml:space="preserve"> could be taken as possible agreement for 50 MHz channel bandwidth for n257 and n258</w:t>
                      </w:r>
                    </w:p>
                    <w:p w:rsidR="00685CBE" w:rsidRPr="001A5B06" w:rsidRDefault="00685CBE" w:rsidP="00EC4EFE">
                      <w:pPr>
                        <w:pStyle w:val="ListParagraph"/>
                        <w:numPr>
                          <w:ilvl w:val="1"/>
                          <w:numId w:val="3"/>
                        </w:numPr>
                        <w:spacing w:after="0" w:line="259" w:lineRule="auto"/>
                        <w:ind w:left="1080"/>
                        <w:rPr>
                          <w:sz w:val="18"/>
                          <w:lang w:val="en-US"/>
                        </w:rPr>
                      </w:pPr>
                      <w:r w:rsidRPr="001A5B06">
                        <w:rPr>
                          <w:bCs/>
                          <w:sz w:val="18"/>
                          <w:lang w:val="en-US"/>
                        </w:rPr>
                        <w:t>Companies expressed needing time to discuss this number</w:t>
                      </w:r>
                    </w:p>
                  </w:txbxContent>
                </v:textbox>
                <w10:anchorlock/>
              </v:shape>
            </w:pict>
          </mc:Fallback>
        </mc:AlternateContent>
      </w:r>
    </w:p>
    <w:p w:rsidR="00361747" w:rsidRPr="003151B0" w:rsidRDefault="00361747" w:rsidP="00361747">
      <w:pPr>
        <w:spacing w:after="60"/>
        <w:rPr>
          <w:rFonts w:eastAsia="Batang"/>
          <w:noProof/>
          <w:sz w:val="16"/>
          <w:lang w:val="en-US" w:eastAsia="en-US"/>
        </w:rPr>
      </w:pPr>
    </w:p>
    <w:p w:rsidR="00361747" w:rsidRDefault="00361747" w:rsidP="00361747">
      <w:pPr>
        <w:spacing w:after="60"/>
        <w:rPr>
          <w:rFonts w:eastAsia="Batang"/>
          <w:noProof/>
          <w:lang w:val="en-US" w:eastAsia="en-US"/>
        </w:rPr>
      </w:pPr>
      <w:r>
        <w:rPr>
          <w:rFonts w:eastAsia="Batang"/>
          <w:noProof/>
          <w:lang w:val="en-US" w:eastAsia="en-US"/>
        </w:rPr>
        <w:t>Agreements from RAN4 #85 [2]:</w:t>
      </w:r>
    </w:p>
    <w:p w:rsidR="00361747" w:rsidRDefault="00361747" w:rsidP="00361747">
      <w:pPr>
        <w:spacing w:after="0"/>
        <w:rPr>
          <w:rFonts w:eastAsia="Batang"/>
          <w:noProof/>
          <w:lang w:val="en-US" w:eastAsia="en-US"/>
        </w:rPr>
      </w:pPr>
      <w:r w:rsidRPr="002674E6">
        <w:rPr>
          <w:rFonts w:eastAsia="Batang"/>
          <w:noProof/>
          <w:lang w:val="en-US" w:eastAsia="en-US"/>
        </w:rPr>
        <mc:AlternateContent>
          <mc:Choice Requires="wps">
            <w:drawing>
              <wp:inline distT="0" distB="0" distL="0" distR="0" wp14:anchorId="6542E978" wp14:editId="53039EFF">
                <wp:extent cx="5924550" cy="352425"/>
                <wp:effectExtent l="0" t="0" r="19050" b="2857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352425"/>
                        </a:xfrm>
                        <a:prstGeom prst="rect">
                          <a:avLst/>
                        </a:prstGeom>
                        <a:solidFill>
                          <a:srgbClr val="FFFFFF"/>
                        </a:solidFill>
                        <a:ln w="9525">
                          <a:solidFill>
                            <a:srgbClr val="000000"/>
                          </a:solidFill>
                          <a:miter lim="800000"/>
                          <a:headEnd/>
                          <a:tailEnd/>
                        </a:ln>
                      </wps:spPr>
                      <wps:txbx>
                        <w:txbxContent>
                          <w:p w:rsidR="00685CBE" w:rsidRPr="001A5B06" w:rsidRDefault="00685CBE" w:rsidP="00361747">
                            <w:pPr>
                              <w:pStyle w:val="ListParagraph"/>
                              <w:numPr>
                                <w:ilvl w:val="0"/>
                                <w:numId w:val="3"/>
                              </w:numPr>
                              <w:spacing w:line="259" w:lineRule="auto"/>
                              <w:ind w:left="360"/>
                              <w:rPr>
                                <w:sz w:val="18"/>
                                <w:lang w:val="en-US"/>
                              </w:rPr>
                            </w:pPr>
                            <w:r w:rsidRPr="001A5B06">
                              <w:rPr>
                                <w:sz w:val="18"/>
                                <w:lang w:val="en-US"/>
                              </w:rPr>
                              <w:t>For 28 GHz, the beam peak EIS range is [-92.1 to -85.4] dBm</w:t>
                            </w:r>
                          </w:p>
                          <w:p w:rsidR="00685CBE" w:rsidRPr="001A5B06" w:rsidRDefault="00685CBE" w:rsidP="00361747">
                            <w:pPr>
                              <w:pStyle w:val="ListParagraph"/>
                              <w:numPr>
                                <w:ilvl w:val="0"/>
                                <w:numId w:val="3"/>
                              </w:numPr>
                              <w:spacing w:line="259" w:lineRule="auto"/>
                              <w:ind w:left="360"/>
                              <w:rPr>
                                <w:sz w:val="18"/>
                                <w:lang w:val="en-US"/>
                              </w:rPr>
                            </w:pPr>
                            <w:r w:rsidRPr="001A5B06">
                              <w:rPr>
                                <w:sz w:val="18"/>
                                <w:lang w:val="en-US"/>
                              </w:rPr>
                              <w:t>For 39 GHz, the beam peak EIS range is [-91.8 to -82.6] dBm</w:t>
                            </w:r>
                          </w:p>
                        </w:txbxContent>
                      </wps:txbx>
                      <wps:bodyPr rot="0" vert="horz" wrap="square" lIns="91440" tIns="45720" rIns="91440" bIns="45720" anchor="t" anchorCtr="0" upright="1">
                        <a:noAutofit/>
                      </wps:bodyPr>
                    </wps:wsp>
                  </a:graphicData>
                </a:graphic>
              </wp:inline>
            </w:drawing>
          </mc:Choice>
          <mc:Fallback>
            <w:pict>
              <v:shape w14:anchorId="6542E978" id="Text Box 10" o:spid="_x0000_s1027" type="#_x0000_t202" style="width:466.5pt;height:2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">
                <v:textbox>
                  <w:txbxContent>
                    <w:p w:rsidR="00685CBE" w:rsidRPr="001A5B06" w:rsidRDefault="00685CBE" w:rsidP="00361747">
                      <w:pPr>
                        <w:pStyle w:val="ListParagraph"/>
                        <w:numPr>
                          <w:ilvl w:val="0"/>
                          <w:numId w:val="3"/>
                        </w:numPr>
                        <w:spacing w:line="259" w:lineRule="auto"/>
                        <w:ind w:left="360"/>
                        <w:rPr>
                          <w:sz w:val="18"/>
                          <w:lang w:val="en-US"/>
                        </w:rPr>
                      </w:pPr>
                      <w:r w:rsidRPr="001A5B06">
                        <w:rPr>
                          <w:sz w:val="18"/>
                          <w:lang w:val="en-US"/>
                        </w:rPr>
                        <w:t>For 28 GHz, the beam peak EIS range is [-92.1 to -85.4] dBm</w:t>
                      </w:r>
                    </w:p>
                    <w:p w:rsidR="00685CBE" w:rsidRPr="001A5B06" w:rsidRDefault="00685CBE" w:rsidP="00361747">
                      <w:pPr>
                        <w:pStyle w:val="ListParagraph"/>
                        <w:numPr>
                          <w:ilvl w:val="0"/>
                          <w:numId w:val="3"/>
                        </w:numPr>
                        <w:spacing w:line="259" w:lineRule="auto"/>
                        <w:ind w:left="360"/>
                        <w:rPr>
                          <w:sz w:val="18"/>
                          <w:lang w:val="en-US"/>
                        </w:rPr>
                      </w:pPr>
                      <w:r w:rsidRPr="001A5B06">
                        <w:rPr>
                          <w:sz w:val="18"/>
                          <w:lang w:val="en-US"/>
                        </w:rPr>
                        <w:t>For 39 GHz, the beam peak EIS range is [-91.8 to -82.6] dBm</w:t>
                      </w:r>
                    </w:p>
                  </w:txbxContent>
                </v:textbox>
                <w10:anchorlock/>
              </v:shape>
            </w:pict>
          </mc:Fallback>
        </mc:AlternateContent>
      </w:r>
    </w:p>
    <w:p w:rsidR="003151B0" w:rsidRPr="003151B0" w:rsidRDefault="003151B0" w:rsidP="003151B0">
      <w:pPr>
        <w:spacing w:after="0"/>
        <w:rPr>
          <w:rFonts w:eastAsia="Batang"/>
          <w:noProof/>
          <w:sz w:val="16"/>
          <w:lang w:val="en-US" w:eastAsia="en-US"/>
        </w:rPr>
      </w:pPr>
    </w:p>
    <w:p w:rsidR="005E4454" w:rsidRDefault="005E4454" w:rsidP="003151B0">
      <w:pPr>
        <w:spacing w:after="0"/>
        <w:rPr>
          <w:rFonts w:eastAsia="Batang"/>
        </w:rPr>
      </w:pPr>
      <w:r>
        <w:rPr>
          <w:rFonts w:eastAsia="Batang"/>
          <w:noProof/>
          <w:lang w:val="en-US" w:eastAsia="en-US"/>
        </w:rPr>
        <w:t>Though the</w:t>
      </w:r>
      <w:r w:rsidR="003151B0">
        <w:rPr>
          <w:rFonts w:eastAsia="Batang"/>
          <w:noProof/>
          <w:lang w:val="en-US" w:eastAsia="en-US"/>
        </w:rPr>
        <w:t xml:space="preserve"> </w:t>
      </w:r>
      <w:r w:rsidR="00361747">
        <w:rPr>
          <w:rFonts w:eastAsia="Batang"/>
          <w:noProof/>
          <w:lang w:val="en-US" w:eastAsia="en-US"/>
        </w:rPr>
        <w:t xml:space="preserve">plan was to provide analysis to finalize the requirement, no new agreement or way forward was </w:t>
      </w:r>
      <w:r w:rsidR="003151B0">
        <w:rPr>
          <w:rFonts w:eastAsia="Batang"/>
          <w:noProof/>
          <w:lang w:val="en-US" w:eastAsia="en-US"/>
        </w:rPr>
        <w:t>reached in AH-1801. H</w:t>
      </w:r>
      <w:r w:rsidR="00361747">
        <w:rPr>
          <w:rFonts w:eastAsia="Batang"/>
          <w:noProof/>
          <w:lang w:val="en-US" w:eastAsia="en-US"/>
        </w:rPr>
        <w:t>owever</w:t>
      </w:r>
      <w:r>
        <w:rPr>
          <w:rFonts w:eastAsia="Batang"/>
          <w:noProof/>
          <w:lang w:val="en-US" w:eastAsia="en-US"/>
        </w:rPr>
        <w:t>,</w:t>
      </w:r>
      <w:r w:rsidR="00361747">
        <w:rPr>
          <w:rFonts w:eastAsia="Batang"/>
          <w:noProof/>
          <w:lang w:val="en-US" w:eastAsia="en-US"/>
        </w:rPr>
        <w:t xml:space="preserve"> a new UE type termed</w:t>
      </w:r>
      <w:r>
        <w:rPr>
          <w:rFonts w:eastAsia="Batang"/>
          <w:noProof/>
          <w:lang w:val="en-US" w:eastAsia="en-US"/>
        </w:rPr>
        <w:t xml:space="preserve"> Fixed Wireless Access </w:t>
      </w:r>
      <w:r w:rsidR="00642159">
        <w:rPr>
          <w:rFonts w:eastAsia="Batang"/>
          <w:noProof/>
          <w:lang w:val="en-US" w:eastAsia="en-US"/>
        </w:rPr>
        <w:t xml:space="preserve">(FWA) </w:t>
      </w:r>
      <w:r w:rsidR="00E43A07">
        <w:rPr>
          <w:rFonts w:eastAsia="Batang"/>
          <w:noProof/>
          <w:lang w:val="en-US" w:eastAsia="en-US"/>
        </w:rPr>
        <w:t>was approved [6</w:t>
      </w:r>
      <w:r w:rsidR="003151B0">
        <w:rPr>
          <w:rFonts w:eastAsia="Batang"/>
          <w:noProof/>
          <w:lang w:val="en-US" w:eastAsia="en-US"/>
        </w:rPr>
        <w:t xml:space="preserve">]. </w:t>
      </w:r>
      <w:r w:rsidR="003151B0">
        <w:rPr>
          <w:rFonts w:eastAsia="Batang"/>
        </w:rPr>
        <w:t>A</w:t>
      </w:r>
      <w:r>
        <w:rPr>
          <w:rFonts w:eastAsia="Batang"/>
        </w:rPr>
        <w:t>greements for th</w:t>
      </w:r>
      <w:r w:rsidR="003151B0">
        <w:rPr>
          <w:rFonts w:eastAsia="Batang"/>
        </w:rPr>
        <w:t xml:space="preserve">e new UE </w:t>
      </w:r>
      <w:r>
        <w:rPr>
          <w:rFonts w:eastAsia="Batang"/>
        </w:rPr>
        <w:t xml:space="preserve">type </w:t>
      </w:r>
      <w:r w:rsidR="003151B0">
        <w:rPr>
          <w:rFonts w:eastAsia="Batang"/>
        </w:rPr>
        <w:t>list</w:t>
      </w:r>
      <w:r>
        <w:rPr>
          <w:rFonts w:eastAsia="Batang"/>
        </w:rPr>
        <w:t xml:space="preserve"> </w:t>
      </w:r>
      <w:r w:rsidR="003151B0">
        <w:rPr>
          <w:rFonts w:eastAsia="Batang"/>
        </w:rPr>
        <w:t>determining</w:t>
      </w:r>
      <w:r>
        <w:rPr>
          <w:rFonts w:eastAsia="Batang"/>
        </w:rPr>
        <w:t xml:space="preserve"> </w:t>
      </w:r>
      <w:r w:rsidR="003151B0">
        <w:rPr>
          <w:rFonts w:eastAsia="Batang"/>
        </w:rPr>
        <w:t xml:space="preserve">the </w:t>
      </w:r>
      <w:r>
        <w:rPr>
          <w:rFonts w:eastAsia="Batang"/>
        </w:rPr>
        <w:t>impact on UE requirements and aligning on parameters needed for peak EI</w:t>
      </w:r>
      <w:r w:rsidR="003151B0">
        <w:rPr>
          <w:rFonts w:eastAsia="Batang"/>
        </w:rPr>
        <w:t>S</w:t>
      </w:r>
      <w:r>
        <w:rPr>
          <w:rFonts w:eastAsia="Batang"/>
        </w:rPr>
        <w:t>.</w:t>
      </w:r>
    </w:p>
    <w:p w:rsidR="003151B0" w:rsidRPr="003151B0" w:rsidRDefault="003151B0" w:rsidP="003151B0">
      <w:pPr>
        <w:spacing w:after="0"/>
        <w:rPr>
          <w:rFonts w:eastAsia="Batang"/>
          <w:noProof/>
          <w:sz w:val="16"/>
          <w:lang w:val="en-US" w:eastAsia="en-US"/>
        </w:rPr>
      </w:pPr>
    </w:p>
    <w:p w:rsidR="005E4454" w:rsidRDefault="005E4454" w:rsidP="005E4454">
      <w:pPr>
        <w:spacing w:after="240"/>
        <w:rPr>
          <w:rFonts w:eastAsia="Batang"/>
          <w:noProof/>
          <w:lang w:val="en-US" w:eastAsia="en-US"/>
        </w:rPr>
      </w:pPr>
      <w:r>
        <w:rPr>
          <w:rFonts w:eastAsia="Batang"/>
          <w:noProof/>
          <w:lang w:val="en-US" w:eastAsia="en-US"/>
        </w:rPr>
        <mc:AlternateContent>
          <mc:Choice Requires="wps">
            <w:drawing>
              <wp:inline distT="0" distB="0" distL="0" distR="0" wp14:anchorId="056C27D5" wp14:editId="2140BA6C">
                <wp:extent cx="6145530" cy="1645920"/>
                <wp:effectExtent l="0" t="0" r="26670" b="2159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645920"/>
                        </a:xfrm>
                        <a:prstGeom prst="rect">
                          <a:avLst/>
                        </a:prstGeom>
                        <a:solidFill>
                          <a:srgbClr val="FFFFFF"/>
                        </a:solidFill>
                        <a:ln w="9525">
                          <a:solidFill>
                            <a:srgbClr val="000000"/>
                          </a:solidFill>
                          <a:miter lim="800000"/>
                          <a:headEnd/>
                          <a:tailEnd/>
                        </a:ln>
                      </wps:spPr>
                      <wps:txbx>
                        <w:txbxContent>
                          <w:p w:rsidR="00685CBE" w:rsidRPr="00FB3E76" w:rsidRDefault="00685CBE" w:rsidP="005E4454">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65A06AC2" wp14:editId="562C8D09">
                                  <wp:extent cx="4288155" cy="1612416"/>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t="15215"/>
                                          <a:stretch/>
                                        </pic:blipFill>
                                        <pic:spPr bwMode="auto">
                                          <a:xfrm>
                                            <a:off x="0" y="0"/>
                                            <a:ext cx="4288536" cy="1612559"/>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056C27D5" id="Text Box 6" o:spid="_x0000_s1028" type="#_x0000_t202" style="width:483.9pt;height:12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">
                <v:textbox style="mso-fit-shape-to-text:t">
                  <w:txbxContent>
                    <w:p w:rsidR="00685CBE" w:rsidRPr="00FB3E76" w:rsidRDefault="00685CBE" w:rsidP="005E4454">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65A06AC2" wp14:editId="562C8D09">
                            <wp:extent cx="4288155" cy="1612416"/>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t="15215"/>
                                    <a:stretch/>
                                  </pic:blipFill>
                                  <pic:spPr bwMode="auto">
                                    <a:xfrm>
                                      <a:off x="0" y="0"/>
                                      <a:ext cx="4288536" cy="1612559"/>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rsidR="003151B0" w:rsidRDefault="003151B0" w:rsidP="00E3415B">
      <w:pPr>
        <w:spacing w:after="0"/>
        <w:rPr>
          <w:rFonts w:eastAsia="Batang"/>
        </w:rPr>
      </w:pPr>
      <w:r>
        <w:rPr>
          <w:rFonts w:eastAsia="Batang"/>
        </w:rPr>
        <w:lastRenderedPageBreak/>
        <w:t xml:space="preserve">Once </w:t>
      </w:r>
      <w:r w:rsidR="00665F71">
        <w:rPr>
          <w:rFonts w:eastAsia="Batang"/>
        </w:rPr>
        <w:t xml:space="preserve">we are </w:t>
      </w:r>
      <w:r>
        <w:rPr>
          <w:rFonts w:eastAsia="Batang"/>
        </w:rPr>
        <w:t>aligned</w:t>
      </w:r>
      <w:r w:rsidR="00665F71">
        <w:rPr>
          <w:rFonts w:eastAsia="Batang"/>
        </w:rPr>
        <w:t xml:space="preserve"> on evaluations parameters</w:t>
      </w:r>
      <w:r>
        <w:rPr>
          <w:rFonts w:eastAsia="Batang"/>
        </w:rPr>
        <w:t>, the plan is to target Rel-15 for both power class and REFSENS requirements.</w:t>
      </w:r>
    </w:p>
    <w:p w:rsidR="003151B0" w:rsidRDefault="003151B0" w:rsidP="003151B0">
      <w:pPr>
        <w:spacing w:after="0"/>
        <w:rPr>
          <w:rFonts w:eastAsia="Batang"/>
        </w:rPr>
      </w:pPr>
    </w:p>
    <w:p w:rsidR="005E4454" w:rsidRDefault="005E4454" w:rsidP="005E4454">
      <w:pPr>
        <w:spacing w:after="120"/>
        <w:rPr>
          <w:rFonts w:eastAsia="Batang"/>
          <w:noProof/>
          <w:lang w:val="en-US" w:eastAsia="en-US"/>
        </w:rPr>
      </w:pPr>
      <w:r>
        <w:rPr>
          <w:rFonts w:eastAsia="Batang"/>
        </w:rPr>
        <w:t xml:space="preserve">Work plan for FWA </w:t>
      </w:r>
      <w:r>
        <w:rPr>
          <w:rFonts w:eastAsia="Batang"/>
        </w:rPr>
        <w:fldChar w:fldCharType="begin"/>
      </w:r>
      <w:r>
        <w:rPr>
          <w:rFonts w:eastAsia="Batang"/>
        </w:rPr>
        <w:instrText xml:space="preserve"> REF _Ref497513683 \r \h </w:instrText>
      </w:r>
      <w:r>
        <w:rPr>
          <w:rFonts w:eastAsia="Batang"/>
        </w:rPr>
      </w:r>
      <w:r>
        <w:rPr>
          <w:rFonts w:eastAsia="Batang"/>
        </w:rPr>
        <w:fldChar w:fldCharType="separate"/>
      </w:r>
      <w:r w:rsidR="00E43A07">
        <w:rPr>
          <w:rFonts w:eastAsia="Batang"/>
        </w:rPr>
        <w:t>[6</w:t>
      </w:r>
      <w:r>
        <w:rPr>
          <w:rFonts w:eastAsia="Batang"/>
        </w:rPr>
        <w:t>]</w:t>
      </w:r>
      <w:r>
        <w:rPr>
          <w:rFonts w:eastAsia="Batang"/>
        </w:rPr>
        <w:fldChar w:fldCharType="end"/>
      </w:r>
      <w:r>
        <w:rPr>
          <w:rFonts w:eastAsia="Batang"/>
        </w:rPr>
        <w:t>:</w:t>
      </w:r>
      <w:r w:rsidRPr="00AC5A61">
        <w:rPr>
          <w:rFonts w:eastAsia="Batang"/>
          <w:noProof/>
          <w:lang w:val="en-US" w:eastAsia="en-US"/>
        </w:rPr>
        <w:t xml:space="preserve"> </w:t>
      </w:r>
    </w:p>
    <w:p w:rsidR="005E4454" w:rsidRDefault="005E4454" w:rsidP="005E4454">
      <w:pPr>
        <w:spacing w:after="240"/>
        <w:rPr>
          <w:rFonts w:eastAsia="Batang"/>
          <w:noProof/>
          <w:lang w:val="en-US" w:eastAsia="en-US"/>
        </w:rPr>
      </w:pPr>
      <w:r>
        <w:rPr>
          <w:rFonts w:eastAsia="Batang"/>
          <w:noProof/>
          <w:lang w:val="en-US" w:eastAsia="en-US"/>
        </w:rPr>
        <mc:AlternateContent>
          <mc:Choice Requires="wps">
            <w:drawing>
              <wp:inline distT="0" distB="0" distL="0" distR="0" wp14:anchorId="4B3C82DF" wp14:editId="6B758358">
                <wp:extent cx="6145530" cy="1840230"/>
                <wp:effectExtent l="0" t="0" r="26670" b="2032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840230"/>
                        </a:xfrm>
                        <a:prstGeom prst="rect">
                          <a:avLst/>
                        </a:prstGeom>
                        <a:solidFill>
                          <a:srgbClr val="FFFFFF"/>
                        </a:solidFill>
                        <a:ln w="9525">
                          <a:solidFill>
                            <a:srgbClr val="000000"/>
                          </a:solidFill>
                          <a:miter lim="800000"/>
                          <a:headEnd/>
                          <a:tailEnd/>
                        </a:ln>
                      </wps:spPr>
                      <wps:txbx>
                        <w:txbxContent>
                          <w:p w:rsidR="00685CBE" w:rsidRPr="00FB3E76" w:rsidRDefault="00685CBE" w:rsidP="005E4454">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3C361E51" wp14:editId="0335E31E">
                                  <wp:extent cx="3893866"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34571" b="1"/>
                                          <a:stretch/>
                                        </pic:blipFill>
                                        <pic:spPr bwMode="auto">
                                          <a:xfrm>
                                            <a:off x="0" y="0"/>
                                            <a:ext cx="3895344" cy="131622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4B3C82DF" id="Text Box 7" o:spid="_x0000_s1029" type="#_x0000_t202" style="width:483.9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">
                <v:textbox style="mso-fit-shape-to-text:t">
                  <w:txbxContent>
                    <w:p w:rsidR="00685CBE" w:rsidRPr="00FB3E76" w:rsidRDefault="00685CBE" w:rsidP="005E4454">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3C361E51" wp14:editId="0335E31E">
                            <wp:extent cx="3893866"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34571" b="1"/>
                                    <a:stretch/>
                                  </pic:blipFill>
                                  <pic:spPr bwMode="auto">
                                    <a:xfrm>
                                      <a:off x="0" y="0"/>
                                      <a:ext cx="3895344" cy="131622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rsidR="00B2535F" w:rsidRDefault="00E3415B" w:rsidP="00EC4EFE">
      <w:pPr>
        <w:spacing w:after="240"/>
        <w:rPr>
          <w:rFonts w:eastAsia="Batang"/>
        </w:rPr>
      </w:pPr>
      <w:r>
        <w:rPr>
          <w:rFonts w:eastAsia="Batang"/>
        </w:rPr>
        <w:t>Lastly, during RAN4 #86</w:t>
      </w:r>
      <w:r w:rsidR="00E43A07">
        <w:rPr>
          <w:rFonts w:eastAsia="Batang"/>
        </w:rPr>
        <w:t xml:space="preserve"> a table to align on relevant parameters for beam peak EIS derivation was approved [7]. </w:t>
      </w:r>
    </w:p>
    <w:p w:rsidR="00EC4EFE" w:rsidRDefault="00EC4EFE" w:rsidP="00EC4EFE">
      <w:pPr>
        <w:pStyle w:val="Heading2"/>
        <w:rPr>
          <w:rFonts w:eastAsia="Batang"/>
        </w:rPr>
      </w:pPr>
      <w:r>
        <w:rPr>
          <w:rFonts w:eastAsia="Batang"/>
        </w:rPr>
        <w:t>2.2</w:t>
      </w:r>
      <w:r>
        <w:rPr>
          <w:rFonts w:eastAsia="Batang"/>
        </w:rPr>
        <w:tab/>
      </w:r>
      <w:r w:rsidR="00A529D5">
        <w:rPr>
          <w:rFonts w:eastAsia="Batang"/>
        </w:rPr>
        <w:t>REFSENS Requirements for FWA</w:t>
      </w:r>
    </w:p>
    <w:p w:rsidR="00823ECC" w:rsidRDefault="00A529D5" w:rsidP="00110EE1">
      <w:pPr>
        <w:spacing w:after="0"/>
        <w:rPr>
          <w:rFonts w:eastAsia="Batang"/>
        </w:rPr>
      </w:pPr>
      <w:r>
        <w:rPr>
          <w:rFonts w:eastAsia="Batang"/>
        </w:rPr>
        <w:t xml:space="preserve">Defining new UE types </w:t>
      </w:r>
      <w:r w:rsidR="00823ECC">
        <w:rPr>
          <w:rFonts w:eastAsia="Batang"/>
        </w:rPr>
        <w:t xml:space="preserve">beyond handheld </w:t>
      </w:r>
      <w:r>
        <w:rPr>
          <w:rFonts w:eastAsia="Batang"/>
        </w:rPr>
        <w:t xml:space="preserve">makes sense given the popularity and potential use case </w:t>
      </w:r>
      <w:r w:rsidR="00642159">
        <w:rPr>
          <w:rFonts w:eastAsia="Batang"/>
        </w:rPr>
        <w:t xml:space="preserve">of </w:t>
      </w:r>
      <w:r>
        <w:rPr>
          <w:rFonts w:eastAsia="Batang"/>
        </w:rPr>
        <w:t>additional devices</w:t>
      </w:r>
      <w:r w:rsidR="00E43A07">
        <w:rPr>
          <w:rFonts w:eastAsia="Batang"/>
        </w:rPr>
        <w:t xml:space="preserve"> operating in millimeter-wave</w:t>
      </w:r>
      <w:r>
        <w:rPr>
          <w:rFonts w:eastAsia="Batang"/>
        </w:rPr>
        <w:t xml:space="preserve">. </w:t>
      </w:r>
      <w:r w:rsidR="00E43A07">
        <w:rPr>
          <w:rFonts w:eastAsia="Batang"/>
        </w:rPr>
        <w:t>Specifically</w:t>
      </w:r>
      <w:r>
        <w:rPr>
          <w:rFonts w:eastAsia="Batang"/>
        </w:rPr>
        <w:t xml:space="preserve">, fixed wireless access </w:t>
      </w:r>
      <w:r w:rsidR="00E43A07">
        <w:rPr>
          <w:rFonts w:eastAsia="Batang"/>
        </w:rPr>
        <w:t xml:space="preserve">(FWA) </w:t>
      </w:r>
      <w:r>
        <w:rPr>
          <w:rFonts w:eastAsia="Batang"/>
        </w:rPr>
        <w:t xml:space="preserve">devices are </w:t>
      </w:r>
      <w:r w:rsidR="00291722">
        <w:rPr>
          <w:rFonts w:eastAsia="Batang"/>
        </w:rPr>
        <w:t>expec</w:t>
      </w:r>
      <w:r>
        <w:rPr>
          <w:rFonts w:eastAsia="Batang"/>
        </w:rPr>
        <w:t xml:space="preserve">ted to have significant growth in 5G. These can provide broadband access to remote areas, thanks to their large coverage area and relatively low latency. The FCC has even adopted a general framework for </w:t>
      </w:r>
      <w:r w:rsidR="00E55B80">
        <w:rPr>
          <w:rFonts w:eastAsia="Batang"/>
        </w:rPr>
        <w:t xml:space="preserve">the </w:t>
      </w:r>
      <w:r>
        <w:rPr>
          <w:rFonts w:eastAsia="Batang"/>
        </w:rPr>
        <w:t>additional UE type across 28 and 39 GH</w:t>
      </w:r>
      <w:r w:rsidR="00120857">
        <w:rPr>
          <w:rFonts w:eastAsia="Batang"/>
        </w:rPr>
        <w:t>z</w:t>
      </w:r>
      <w:r w:rsidR="00823ECC">
        <w:rPr>
          <w:rFonts w:eastAsia="Batang"/>
        </w:rPr>
        <w:t xml:space="preserve"> [9</w:t>
      </w:r>
      <w:r>
        <w:rPr>
          <w:rFonts w:eastAsia="Batang"/>
        </w:rPr>
        <w:t xml:space="preserve">]. </w:t>
      </w:r>
      <w:r w:rsidR="00823ECC">
        <w:rPr>
          <w:rFonts w:eastAsia="Batang"/>
        </w:rPr>
        <w:t>Because of this, RAN4 introduced and approved a new UE type for FWA</w:t>
      </w:r>
      <w:r w:rsidR="00DB423A">
        <w:rPr>
          <w:rFonts w:eastAsia="Batang"/>
        </w:rPr>
        <w:t>, with a Rel-15 target for its requirements [6].</w:t>
      </w:r>
    </w:p>
    <w:p w:rsidR="00E43A07" w:rsidRDefault="00823ECC" w:rsidP="00110EE1">
      <w:pPr>
        <w:spacing w:after="0"/>
        <w:rPr>
          <w:rFonts w:eastAsia="Batang"/>
        </w:rPr>
      </w:pPr>
      <w:r>
        <w:rPr>
          <w:rFonts w:eastAsia="Batang"/>
        </w:rPr>
        <w:t xml:space="preserve"> </w:t>
      </w:r>
    </w:p>
    <w:p w:rsidR="0084737B" w:rsidRDefault="00823ECC" w:rsidP="00792A63">
      <w:pPr>
        <w:spacing w:after="0"/>
      </w:pPr>
      <w:r>
        <w:t>It is important to note that g</w:t>
      </w:r>
      <w:r w:rsidR="00BA1923">
        <w:t>iven the variability on potential use case</w:t>
      </w:r>
      <w:r>
        <w:t>s</w:t>
      </w:r>
      <w:r w:rsidR="00BA1923">
        <w:t xml:space="preserve">, form-factor size, and environment while in </w:t>
      </w:r>
      <w:r w:rsidR="00792A63">
        <w:t xml:space="preserve">operation, </w:t>
      </w:r>
      <w:r w:rsidR="00BB2719">
        <w:t>w</w:t>
      </w:r>
      <w:r>
        <w:t xml:space="preserve">e should </w:t>
      </w:r>
      <w:r w:rsidR="00792A63">
        <w:t>align on</w:t>
      </w:r>
      <w:r>
        <w:t xml:space="preserve"> how to separate and </w:t>
      </w:r>
      <w:r w:rsidRPr="001010EE">
        <w:t xml:space="preserve">define </w:t>
      </w:r>
      <w:r>
        <w:t>the</w:t>
      </w:r>
      <w:r w:rsidR="00792A63">
        <w:t xml:space="preserve"> FWA UE type</w:t>
      </w:r>
      <w:r w:rsidR="00BA1923" w:rsidRPr="001010EE">
        <w:t xml:space="preserve">. </w:t>
      </w:r>
      <w:r w:rsidR="00BA1923">
        <w:t xml:space="preserve">This is </w:t>
      </w:r>
      <w:r>
        <w:t>addres</w:t>
      </w:r>
      <w:r w:rsidR="00BA1923">
        <w:t xml:space="preserve">sed in [10], where a distinction is made between FWA devices on a </w:t>
      </w:r>
      <w:r w:rsidR="00BA1923" w:rsidRPr="00DB423A">
        <w:rPr>
          <w:i/>
        </w:rPr>
        <w:t>stationary</w:t>
      </w:r>
      <w:r w:rsidR="00BB2719">
        <w:t xml:space="preserve"> </w:t>
      </w:r>
      <w:r w:rsidR="00BA1923">
        <w:t xml:space="preserve">platform, and </w:t>
      </w:r>
      <w:r w:rsidR="00F3782D">
        <w:t xml:space="preserve">those in </w:t>
      </w:r>
      <w:r w:rsidR="00BA1923">
        <w:t xml:space="preserve">a </w:t>
      </w:r>
      <w:r w:rsidR="00BA1923" w:rsidRPr="00BB2719">
        <w:rPr>
          <w:i/>
        </w:rPr>
        <w:t>moving</w:t>
      </w:r>
      <w:r w:rsidR="00BB2719">
        <w:t xml:space="preserve"> </w:t>
      </w:r>
      <w:r w:rsidR="00BA1923">
        <w:t>platform</w:t>
      </w:r>
      <w:r w:rsidR="00F3782D">
        <w:t xml:space="preserve"> while operating</w:t>
      </w:r>
      <w:r w:rsidR="00BA1923">
        <w:t>.</w:t>
      </w:r>
      <w:r w:rsidR="00792A63">
        <w:t xml:space="preserve"> </w:t>
      </w:r>
      <w:r w:rsidR="00BB2719">
        <w:t>The rest of this</w:t>
      </w:r>
      <w:r w:rsidR="00792A63" w:rsidRPr="005E099A">
        <w:t xml:space="preserve"> paper </w:t>
      </w:r>
      <w:r w:rsidR="00BB2719">
        <w:t xml:space="preserve">will focus </w:t>
      </w:r>
      <w:r w:rsidR="00792A63" w:rsidRPr="005E099A">
        <w:t xml:space="preserve">on </w:t>
      </w:r>
      <w:r w:rsidR="00BB2719">
        <w:t xml:space="preserve">REFSENS requirements for </w:t>
      </w:r>
      <w:r w:rsidR="00792A63">
        <w:t xml:space="preserve">FWA devices on a </w:t>
      </w:r>
      <w:r w:rsidR="00792A63" w:rsidRPr="00DB423A">
        <w:rPr>
          <w:i/>
        </w:rPr>
        <w:t>stationary</w:t>
      </w:r>
      <w:r w:rsidR="00792A63">
        <w:t xml:space="preserve"> platform.</w:t>
      </w:r>
    </w:p>
    <w:p w:rsidR="00BB2719" w:rsidRDefault="00BB2719" w:rsidP="00792A63">
      <w:pPr>
        <w:spacing w:after="0"/>
      </w:pPr>
    </w:p>
    <w:p w:rsidR="00BB2719" w:rsidRDefault="00BB2719" w:rsidP="00792A63">
      <w:pPr>
        <w:spacing w:after="0"/>
      </w:pPr>
      <w:r>
        <w:rPr>
          <w:rFonts w:eastAsia="Batang"/>
        </w:rPr>
        <w:t xml:space="preserve">An alignment table with relevant parameters used </w:t>
      </w:r>
      <w:r>
        <w:rPr>
          <w:rFonts w:eastAsia="Batang"/>
        </w:rPr>
        <w:t xml:space="preserve">to </w:t>
      </w:r>
      <w:r>
        <w:rPr>
          <w:rFonts w:eastAsia="Batang"/>
        </w:rPr>
        <w:t xml:space="preserve">derive </w:t>
      </w:r>
      <w:r>
        <w:rPr>
          <w:rFonts w:eastAsia="Batang"/>
        </w:rPr>
        <w:t xml:space="preserve">the </w:t>
      </w:r>
      <w:r>
        <w:rPr>
          <w:rFonts w:eastAsia="Batang"/>
        </w:rPr>
        <w:t>peak EIS requirement was approved in [7].</w:t>
      </w:r>
      <w:r>
        <w:rPr>
          <w:rFonts w:eastAsia="Batang"/>
        </w:rPr>
        <w:t xml:space="preserve"> We use this content in Table 1 as an example evaluation for a FWA device</w:t>
      </w:r>
      <w:r w:rsidR="00E3415B">
        <w:rPr>
          <w:rFonts w:eastAsia="Batang"/>
        </w:rPr>
        <w:t>s</w:t>
      </w:r>
      <w:r>
        <w:rPr>
          <w:rFonts w:eastAsia="Batang"/>
        </w:rPr>
        <w:t>.</w:t>
      </w:r>
    </w:p>
    <w:p w:rsidR="00792A63" w:rsidRDefault="00792A63" w:rsidP="00792A63">
      <w:pPr>
        <w:spacing w:after="0"/>
      </w:pPr>
    </w:p>
    <w:p w:rsidR="00792A63" w:rsidRDefault="00792A63" w:rsidP="00792A63">
      <w:pPr>
        <w:spacing w:after="0"/>
      </w:pPr>
    </w:p>
    <w:p w:rsidR="00292CC7" w:rsidRDefault="00EC4EFE" w:rsidP="00292CC7">
      <w:pPr>
        <w:spacing w:after="120"/>
        <w:jc w:val="center"/>
        <w:rPr>
          <w:rFonts w:eastAsia="Batang"/>
        </w:rPr>
      </w:pPr>
      <w:r w:rsidRPr="00B61221">
        <w:rPr>
          <w:b/>
        </w:rPr>
        <w:t xml:space="preserve">Table </w:t>
      </w:r>
      <w:r w:rsidRPr="00B61221">
        <w:rPr>
          <w:b/>
        </w:rPr>
        <w:fldChar w:fldCharType="begin"/>
      </w:r>
      <w:r w:rsidRPr="00B61221">
        <w:rPr>
          <w:b/>
        </w:rPr>
        <w:instrText xml:space="preserve"> SEQ Table \* ARABIC </w:instrText>
      </w:r>
      <w:r w:rsidRPr="00B61221">
        <w:rPr>
          <w:b/>
        </w:rPr>
        <w:fldChar w:fldCharType="separate"/>
      </w:r>
      <w:r w:rsidRPr="00B61221">
        <w:rPr>
          <w:b/>
          <w:noProof/>
        </w:rPr>
        <w:t>1</w:t>
      </w:r>
      <w:r w:rsidRPr="00B61221">
        <w:rPr>
          <w:b/>
        </w:rPr>
        <w:fldChar w:fldCharType="end"/>
      </w:r>
      <w:r w:rsidR="00292CC7">
        <w:rPr>
          <w:b/>
        </w:rPr>
        <w:t xml:space="preserve">: </w:t>
      </w:r>
      <w:r w:rsidR="00FC304B" w:rsidRPr="00FC304B">
        <w:t xml:space="preserve">Example of </w:t>
      </w:r>
      <w:r w:rsidR="003622D0">
        <w:t>minimum</w:t>
      </w:r>
      <w:r w:rsidR="00FC304B">
        <w:t xml:space="preserve"> b</w:t>
      </w:r>
      <w:r w:rsidR="00292CC7">
        <w:t xml:space="preserve">eam peak EIS </w:t>
      </w:r>
      <w:r w:rsidR="00FC304B">
        <w:t>evaluation</w:t>
      </w:r>
    </w:p>
    <w:tbl>
      <w:tblPr>
        <w:tblW w:w="8064" w:type="dxa"/>
        <w:jc w:val="center"/>
        <w:tblCellMar>
          <w:left w:w="0" w:type="dxa"/>
          <w:right w:w="0" w:type="dxa"/>
        </w:tblCellMar>
        <w:tblLook w:val="04A0" w:firstRow="1" w:lastRow="0" w:firstColumn="1" w:lastColumn="0" w:noHBand="0" w:noVBand="1"/>
      </w:tblPr>
      <w:tblGrid>
        <w:gridCol w:w="2592"/>
        <w:gridCol w:w="1296"/>
        <w:gridCol w:w="1296"/>
        <w:gridCol w:w="2880"/>
      </w:tblGrid>
      <w:tr w:rsidR="00292CC7" w:rsidRPr="000C587A" w:rsidTr="00891A33">
        <w:trPr>
          <w:trHeight w:val="360"/>
          <w:jc w:val="center"/>
        </w:trPr>
        <w:tc>
          <w:tcPr>
            <w:tcW w:w="2592" w:type="dxa"/>
            <w:tcBorders>
              <w:top w:val="single" w:sz="8" w:space="0" w:color="FFFFFF"/>
              <w:left w:val="nil"/>
              <w:bottom w:val="single" w:sz="8" w:space="0" w:color="000000"/>
              <w:right w:val="nil"/>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p>
        </w:tc>
        <w:tc>
          <w:tcPr>
            <w:tcW w:w="1296" w:type="dxa"/>
            <w:tcBorders>
              <w:top w:val="single" w:sz="1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center"/>
              <w:rPr>
                <w:rFonts w:eastAsia="Batang"/>
              </w:rPr>
            </w:pPr>
            <w:r>
              <w:rPr>
                <w:rFonts w:eastAsia="Batang"/>
                <w:b/>
                <w:bCs/>
              </w:rPr>
              <w:t>28GHz</w:t>
            </w:r>
          </w:p>
        </w:tc>
        <w:tc>
          <w:tcPr>
            <w:tcW w:w="1296" w:type="dxa"/>
            <w:tcBorders>
              <w:top w:val="single" w:sz="1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center"/>
              <w:rPr>
                <w:rFonts w:eastAsia="Batang"/>
              </w:rPr>
            </w:pPr>
            <w:r>
              <w:rPr>
                <w:rFonts w:eastAsia="Batang"/>
                <w:b/>
                <w:bCs/>
              </w:rPr>
              <w:t>39GHz</w:t>
            </w:r>
          </w:p>
        </w:tc>
        <w:tc>
          <w:tcPr>
            <w:tcW w:w="2880" w:type="dxa"/>
            <w:tcBorders>
              <w:top w:val="single" w:sz="18" w:space="0" w:color="000000"/>
              <w:left w:val="single" w:sz="8" w:space="0" w:color="000000"/>
              <w:bottom w:val="single" w:sz="8" w:space="0" w:color="000000"/>
            </w:tcBorders>
            <w:tcMar>
              <w:left w:w="144" w:type="dxa"/>
            </w:tcMar>
            <w:vAlign w:val="center"/>
          </w:tcPr>
          <w:p w:rsidR="00292CC7" w:rsidRDefault="00292CC7" w:rsidP="00292CC7">
            <w:pPr>
              <w:spacing w:after="0"/>
              <w:rPr>
                <w:rFonts w:eastAsia="Batang"/>
                <w:b/>
                <w:bCs/>
              </w:rPr>
            </w:pPr>
            <w:r>
              <w:rPr>
                <w:rFonts w:eastAsia="Batang"/>
                <w:b/>
                <w:bCs/>
              </w:rPr>
              <w:t>Comments</w:t>
            </w:r>
          </w:p>
        </w:tc>
      </w:tr>
      <w:tr w:rsidR="00292CC7" w:rsidRPr="000C587A" w:rsidTr="00891A33">
        <w:trPr>
          <w:trHeight w:val="360"/>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proofErr w:type="spellStart"/>
            <w:r w:rsidRPr="000C587A">
              <w:rPr>
                <w:rFonts w:eastAsia="Batang"/>
                <w:b/>
                <w:bCs/>
              </w:rPr>
              <w:t>kTB</w:t>
            </w:r>
            <w:proofErr w:type="spellEnd"/>
            <w:r w:rsidRPr="000C587A">
              <w:rPr>
                <w:rFonts w:eastAsia="Batang"/>
                <w:b/>
                <w:bCs/>
              </w:rPr>
              <w:t>/Hz [dBm]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-174</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-174</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rPr>
            </w:pPr>
          </w:p>
        </w:tc>
      </w:tr>
      <w:tr w:rsidR="00292CC7" w:rsidRPr="000C587A" w:rsidTr="00891A33">
        <w:trPr>
          <w:trHeight w:val="360"/>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10log(Rx BW)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76.99</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76.99</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rPr>
            </w:pPr>
          </w:p>
        </w:tc>
      </w:tr>
      <w:tr w:rsidR="00292CC7" w:rsidRPr="000C587A" w:rsidTr="00891A33">
        <w:trPr>
          <w:trHeight w:val="576"/>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Effective r</w:t>
            </w:r>
            <w:r>
              <w:rPr>
                <w:rFonts w:eastAsia="Batang"/>
                <w:b/>
                <w:bCs/>
              </w:rPr>
              <w:t>ealized antenna array gain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Pr>
                <w:rFonts w:eastAsia="Batang"/>
              </w:rPr>
              <w:t>14.0</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Pr>
                <w:rFonts w:eastAsia="Batang"/>
              </w:rPr>
              <w:t>13.5</w:t>
            </w:r>
          </w:p>
        </w:tc>
        <w:tc>
          <w:tcPr>
            <w:tcW w:w="2880" w:type="dxa"/>
            <w:tcBorders>
              <w:top w:val="single" w:sz="8" w:space="0" w:color="000000"/>
              <w:left w:val="single" w:sz="8" w:space="0" w:color="000000"/>
              <w:bottom w:val="single" w:sz="8" w:space="0" w:color="000000"/>
            </w:tcBorders>
            <w:tcMar>
              <w:left w:w="144" w:type="dxa"/>
            </w:tcMar>
            <w:vAlign w:val="center"/>
          </w:tcPr>
          <w:p w:rsidR="00DC2C7A" w:rsidRDefault="00DC2C7A" w:rsidP="00DC2C7A">
            <w:pPr>
              <w:spacing w:after="0"/>
              <w:rPr>
                <w:rFonts w:eastAsia="Batang"/>
              </w:rPr>
            </w:pPr>
            <w:r>
              <w:rPr>
                <w:rFonts w:eastAsia="Batang"/>
              </w:rPr>
              <w:t>#</w:t>
            </w:r>
            <w:r w:rsidR="00292CC7">
              <w:rPr>
                <w:rFonts w:eastAsia="Batang"/>
              </w:rPr>
              <w:t xml:space="preserve"> elements increased from 4</w:t>
            </w:r>
            <w:r w:rsidR="00665F71">
              <w:rPr>
                <w:rFonts w:eastAsia="Batang"/>
              </w:rPr>
              <w:t xml:space="preserve"> to 16</w:t>
            </w:r>
          </w:p>
          <w:p w:rsidR="00665F71" w:rsidRDefault="00665F71" w:rsidP="00DC2C7A">
            <w:pPr>
              <w:spacing w:after="0"/>
              <w:rPr>
                <w:rFonts w:eastAsia="Batang"/>
              </w:rPr>
            </w:pPr>
            <w:r>
              <w:rPr>
                <w:rFonts w:eastAsia="Batang"/>
              </w:rPr>
              <w:t>includes roll-off</w:t>
            </w:r>
          </w:p>
        </w:tc>
      </w:tr>
      <w:tr w:rsidR="00292CC7" w:rsidRPr="000C587A" w:rsidTr="00891A33">
        <w:trPr>
          <w:trHeight w:val="360"/>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Diversity Gain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bCs/>
              </w:rPr>
              <w:t>0</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bCs/>
              </w:rPr>
              <w:t>0</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bCs/>
              </w:rPr>
            </w:pPr>
          </w:p>
        </w:tc>
      </w:tr>
      <w:tr w:rsidR="00292CC7" w:rsidRPr="000C587A" w:rsidTr="00891A33">
        <w:trPr>
          <w:trHeight w:val="360"/>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SNR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rPr>
            </w:pPr>
          </w:p>
        </w:tc>
      </w:tr>
      <w:tr w:rsidR="00292CC7" w:rsidRPr="000C587A" w:rsidTr="00891A33">
        <w:trPr>
          <w:trHeight w:val="360"/>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NF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10</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Pr>
                <w:rFonts w:eastAsia="Batang"/>
              </w:rPr>
              <w:t>11</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Default="00292CC7" w:rsidP="00292CC7">
            <w:pPr>
              <w:spacing w:after="0"/>
              <w:rPr>
                <w:rFonts w:eastAsia="Batang"/>
              </w:rPr>
            </w:pPr>
          </w:p>
        </w:tc>
      </w:tr>
      <w:tr w:rsidR="00292CC7" w:rsidRPr="000C587A" w:rsidTr="00891A33">
        <w:trPr>
          <w:trHeight w:val="576"/>
          <w:jc w:val="center"/>
        </w:trPr>
        <w:tc>
          <w:tcPr>
            <w:tcW w:w="259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DC2C7A" w:rsidRDefault="00292CC7" w:rsidP="00297543">
            <w:pPr>
              <w:spacing w:after="0"/>
              <w:rPr>
                <w:rFonts w:eastAsia="Batang"/>
              </w:rPr>
            </w:pPr>
            <w:r w:rsidRPr="00DC2C7A">
              <w:rPr>
                <w:rFonts w:eastAsia="Batang"/>
                <w:b/>
                <w:bCs/>
              </w:rPr>
              <w:t>Total implementation loss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DC2C7A" w:rsidRDefault="003622D0" w:rsidP="00297543">
            <w:pPr>
              <w:spacing w:after="0"/>
              <w:jc w:val="right"/>
              <w:rPr>
                <w:rFonts w:eastAsia="Batang"/>
              </w:rPr>
            </w:pPr>
            <w:r w:rsidRPr="00DC2C7A">
              <w:rPr>
                <w:rFonts w:eastAsia="Batang"/>
                <w:bCs/>
              </w:rPr>
              <w:t>6.5</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DC2C7A" w:rsidRDefault="003622D0" w:rsidP="00297543">
            <w:pPr>
              <w:spacing w:after="0"/>
              <w:jc w:val="right"/>
              <w:rPr>
                <w:rFonts w:eastAsia="Batang"/>
              </w:rPr>
            </w:pPr>
            <w:r w:rsidRPr="00DC2C7A">
              <w:rPr>
                <w:rFonts w:eastAsia="Batang"/>
                <w:bCs/>
              </w:rPr>
              <w:t>8.0</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DC2C7A" w:rsidRDefault="00DC2C7A" w:rsidP="00DC2C7A">
            <w:pPr>
              <w:spacing w:after="0"/>
              <w:rPr>
                <w:rFonts w:eastAsia="Batang"/>
                <w:bCs/>
              </w:rPr>
            </w:pPr>
            <w:r>
              <w:rPr>
                <w:rFonts w:eastAsia="Batang"/>
                <w:bCs/>
              </w:rPr>
              <w:t>Overall l</w:t>
            </w:r>
            <w:r w:rsidRPr="00DC2C7A">
              <w:rPr>
                <w:rFonts w:eastAsia="Batang"/>
                <w:bCs/>
              </w:rPr>
              <w:t>osses dropped</w:t>
            </w:r>
          </w:p>
        </w:tc>
      </w:tr>
      <w:tr w:rsidR="00292CC7" w:rsidRPr="000C587A" w:rsidTr="00891A33">
        <w:trPr>
          <w:trHeight w:val="360"/>
          <w:jc w:val="center"/>
        </w:trPr>
        <w:tc>
          <w:tcPr>
            <w:tcW w:w="2592" w:type="dxa"/>
            <w:tcBorders>
              <w:top w:val="single" w:sz="8" w:space="0" w:color="000000"/>
              <w:left w:val="nil"/>
              <w:bottom w:val="single" w:sz="1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Sensitivity EIS [dBm]</w:t>
            </w:r>
          </w:p>
        </w:tc>
        <w:tc>
          <w:tcPr>
            <w:tcW w:w="129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rsidR="00292CC7" w:rsidRPr="00F7782E" w:rsidRDefault="003622D0" w:rsidP="00297543">
            <w:pPr>
              <w:spacing w:after="0"/>
              <w:jc w:val="right"/>
              <w:rPr>
                <w:rFonts w:eastAsia="Batang"/>
              </w:rPr>
            </w:pPr>
            <w:r>
              <w:rPr>
                <w:rFonts w:eastAsia="Batang"/>
                <w:b/>
                <w:bCs/>
              </w:rPr>
              <w:t>-95.5</w:t>
            </w:r>
            <w:r w:rsidR="00292CC7" w:rsidRPr="00F7782E">
              <w:rPr>
                <w:rFonts w:eastAsia="Batang"/>
                <w:b/>
                <w:bCs/>
              </w:rPr>
              <w:t xml:space="preserve">1 </w:t>
            </w:r>
          </w:p>
        </w:tc>
        <w:tc>
          <w:tcPr>
            <w:tcW w:w="1296" w:type="dxa"/>
            <w:tcBorders>
              <w:top w:val="single" w:sz="8" w:space="0" w:color="000000"/>
              <w:left w:val="single" w:sz="8" w:space="0" w:color="000000"/>
              <w:bottom w:val="single" w:sz="18" w:space="0" w:color="000000"/>
            </w:tcBorders>
            <w:shd w:val="clear" w:color="auto" w:fill="auto"/>
            <w:tcMar>
              <w:top w:w="15" w:type="dxa"/>
              <w:left w:w="108" w:type="dxa"/>
              <w:bottom w:w="0" w:type="dxa"/>
              <w:right w:w="108" w:type="dxa"/>
            </w:tcMar>
            <w:vAlign w:val="center"/>
            <w:hideMark/>
          </w:tcPr>
          <w:p w:rsidR="00292CC7" w:rsidRPr="000C587A" w:rsidRDefault="00292CC7" w:rsidP="003622D0">
            <w:pPr>
              <w:spacing w:after="0"/>
              <w:jc w:val="right"/>
              <w:rPr>
                <w:rFonts w:eastAsia="Batang"/>
              </w:rPr>
            </w:pPr>
            <w:r w:rsidRPr="000C587A">
              <w:rPr>
                <w:rFonts w:eastAsia="Batang"/>
                <w:b/>
                <w:bCs/>
              </w:rPr>
              <w:t>-</w:t>
            </w:r>
            <w:r>
              <w:rPr>
                <w:rFonts w:eastAsia="Batang"/>
                <w:b/>
                <w:bCs/>
              </w:rPr>
              <w:t>9</w:t>
            </w:r>
            <w:r w:rsidR="003622D0">
              <w:rPr>
                <w:rFonts w:eastAsia="Batang"/>
                <w:b/>
                <w:bCs/>
              </w:rPr>
              <w:t>2</w:t>
            </w:r>
            <w:r w:rsidRPr="000C587A">
              <w:rPr>
                <w:rFonts w:eastAsia="Batang"/>
                <w:b/>
                <w:bCs/>
              </w:rPr>
              <w:t>.</w:t>
            </w:r>
            <w:r w:rsidR="003622D0">
              <w:rPr>
                <w:rFonts w:eastAsia="Batang"/>
                <w:b/>
                <w:bCs/>
              </w:rPr>
              <w:t>5</w:t>
            </w:r>
            <w:r>
              <w:rPr>
                <w:rFonts w:eastAsia="Batang"/>
                <w:b/>
                <w:bCs/>
              </w:rPr>
              <w:t>1</w:t>
            </w:r>
          </w:p>
        </w:tc>
        <w:tc>
          <w:tcPr>
            <w:tcW w:w="2880" w:type="dxa"/>
            <w:tcBorders>
              <w:top w:val="single" w:sz="8" w:space="0" w:color="000000"/>
              <w:left w:val="single" w:sz="8" w:space="0" w:color="000000"/>
              <w:bottom w:val="single" w:sz="18" w:space="0" w:color="000000"/>
            </w:tcBorders>
            <w:tcMar>
              <w:left w:w="144" w:type="dxa"/>
            </w:tcMar>
            <w:vAlign w:val="center"/>
          </w:tcPr>
          <w:p w:rsidR="00292CC7" w:rsidRPr="00292CC7" w:rsidRDefault="00292CC7" w:rsidP="00292CC7">
            <w:pPr>
              <w:spacing w:after="0"/>
              <w:rPr>
                <w:rFonts w:eastAsia="Batang"/>
                <w:bCs/>
              </w:rPr>
            </w:pPr>
          </w:p>
        </w:tc>
      </w:tr>
    </w:tbl>
    <w:p w:rsidR="00B1337A" w:rsidRDefault="00B1337A" w:rsidP="00792A63">
      <w:pPr>
        <w:pStyle w:val="ListParagraph"/>
        <w:overflowPunct/>
        <w:autoSpaceDE/>
        <w:autoSpaceDN/>
        <w:adjustRightInd/>
        <w:spacing w:before="120" w:after="0"/>
        <w:ind w:left="0"/>
        <w:textAlignment w:val="auto"/>
      </w:pPr>
    </w:p>
    <w:p w:rsidR="00792A63" w:rsidRDefault="00792A63" w:rsidP="00B1337A">
      <w:pPr>
        <w:pStyle w:val="ListParagraph"/>
        <w:overflowPunct/>
        <w:autoSpaceDE/>
        <w:autoSpaceDN/>
        <w:adjustRightInd/>
        <w:spacing w:before="360" w:after="0"/>
        <w:ind w:left="0"/>
        <w:textAlignment w:val="auto"/>
      </w:pPr>
      <w:r>
        <w:t xml:space="preserve">The higher power expected from FWA devices is mainly possible because of their larger form-factor. This enables different architecture implementations with more antenna elements in the array (larger gain) and provides the necessary room for greater separation between sensitive RF components, and non-ideal materials or reflectors that may otherwise affect radiation. The larger size also makes the overall integration easier and reduces the implementations losses. These differences are captured in Table 1 in the number of antennas and total implementation loss parameters. </w:t>
      </w:r>
    </w:p>
    <w:p w:rsidR="00B1337A" w:rsidRDefault="00792A63" w:rsidP="00B1337A">
      <w:pPr>
        <w:pStyle w:val="ListParagraph"/>
        <w:overflowPunct/>
        <w:autoSpaceDE/>
        <w:autoSpaceDN/>
        <w:adjustRightInd/>
        <w:spacing w:before="360" w:after="0"/>
        <w:ind w:left="0"/>
        <w:textAlignment w:val="auto"/>
      </w:pPr>
      <w:r>
        <w:lastRenderedPageBreak/>
        <w:t>Compared to our previously reported handheld numbers, the number of ant</w:t>
      </w:r>
      <w:r w:rsidR="00BB2719">
        <w:t>ennas increased to from 4 to 16, and</w:t>
      </w:r>
      <w:r>
        <w:t xml:space="preserve"> </w:t>
      </w:r>
      <w:r w:rsidR="00BB2719">
        <w:t>t</w:t>
      </w:r>
      <w:r>
        <w:t>he overal</w:t>
      </w:r>
      <w:r w:rsidR="00BB2719">
        <w:t xml:space="preserve">l implementation losses dropped. After factoring </w:t>
      </w:r>
      <w:r w:rsidR="00B1337A">
        <w:t xml:space="preserve">these changes, we get a </w:t>
      </w:r>
      <w:r w:rsidR="00BB2719">
        <w:t xml:space="preserve">minimum </w:t>
      </w:r>
      <w:r w:rsidR="00B1337A">
        <w:t>beam peak EIS of -9</w:t>
      </w:r>
      <w:r w:rsidR="00BB2719">
        <w:t>5</w:t>
      </w:r>
      <w:r w:rsidR="00B1337A">
        <w:t>.</w:t>
      </w:r>
      <w:r w:rsidR="00BB2719">
        <w:t>5</w:t>
      </w:r>
      <w:r w:rsidR="00B1337A">
        <w:t>1 dBm for 28</w:t>
      </w:r>
      <w:r w:rsidR="00BB2719">
        <w:t xml:space="preserve"> </w:t>
      </w:r>
      <w:r w:rsidR="00B1337A">
        <w:t>GHz, and -9</w:t>
      </w:r>
      <w:r w:rsidR="00BB2719">
        <w:t>2</w:t>
      </w:r>
      <w:r w:rsidR="00B1337A">
        <w:t>.</w:t>
      </w:r>
      <w:r w:rsidR="00BB2719">
        <w:t>5</w:t>
      </w:r>
      <w:r w:rsidR="00B1337A">
        <w:t>1 dBm for 39</w:t>
      </w:r>
      <w:r w:rsidR="00BB2719">
        <w:t xml:space="preserve"> </w:t>
      </w:r>
      <w:r w:rsidR="00B1337A">
        <w:t xml:space="preserve">GHz. These numbers correspond to </w:t>
      </w:r>
      <w:r w:rsidR="00642159">
        <w:t xml:space="preserve">difference of </w:t>
      </w:r>
      <w:r w:rsidR="00BB2719">
        <w:t>about</w:t>
      </w:r>
      <w:r w:rsidR="00642159">
        <w:t xml:space="preserve"> </w:t>
      </w:r>
      <w:r w:rsidR="00BB2719">
        <w:t>10</w:t>
      </w:r>
      <w:r w:rsidR="00133C02">
        <w:t xml:space="preserve"> dB</w:t>
      </w:r>
      <w:r w:rsidR="00B1337A">
        <w:t xml:space="preserve"> compared to our results for handheld devices (-85.41 dBm for 28</w:t>
      </w:r>
      <w:r w:rsidR="00BB2719">
        <w:t xml:space="preserve"> </w:t>
      </w:r>
      <w:r w:rsidR="00B1337A">
        <w:t xml:space="preserve">GHz, -82.61 </w:t>
      </w:r>
      <w:r w:rsidR="004037BD">
        <w:t xml:space="preserve">dBm </w:t>
      </w:r>
      <w:r w:rsidR="004A4C93">
        <w:t>for 39</w:t>
      </w:r>
      <w:r w:rsidR="00BB2719">
        <w:t xml:space="preserve"> </w:t>
      </w:r>
      <w:r w:rsidR="004A4C93">
        <w:t>GHz).</w:t>
      </w:r>
    </w:p>
    <w:p w:rsidR="00B1337A" w:rsidRDefault="00B1337A" w:rsidP="00B1337A">
      <w:pPr>
        <w:pStyle w:val="ListParagraph"/>
        <w:overflowPunct/>
        <w:autoSpaceDE/>
        <w:autoSpaceDN/>
        <w:adjustRightInd/>
        <w:spacing w:before="360" w:after="0"/>
        <w:ind w:left="0"/>
        <w:textAlignment w:val="auto"/>
      </w:pPr>
    </w:p>
    <w:p w:rsidR="00742EA3" w:rsidRDefault="00B1337A" w:rsidP="00B1337A">
      <w:pPr>
        <w:pStyle w:val="ListParagraph"/>
        <w:overflowPunct/>
        <w:autoSpaceDE/>
        <w:autoSpaceDN/>
        <w:adjustRightInd/>
        <w:spacing w:before="360" w:after="0"/>
        <w:ind w:left="0"/>
        <w:textAlignment w:val="auto"/>
      </w:pPr>
      <w:r w:rsidRPr="000C16A6">
        <w:rPr>
          <w:b/>
        </w:rPr>
        <w:t xml:space="preserve">Observation </w:t>
      </w:r>
      <w:r w:rsidR="00742EA3">
        <w:rPr>
          <w:b/>
        </w:rPr>
        <w:t>1</w:t>
      </w:r>
      <w:r w:rsidRPr="000C16A6">
        <w:rPr>
          <w:b/>
        </w:rPr>
        <w:t>:</w:t>
      </w:r>
      <w:r w:rsidRPr="000C16A6">
        <w:t xml:space="preserve"> </w:t>
      </w:r>
      <w:r w:rsidR="00742EA3">
        <w:t>The e</w:t>
      </w:r>
      <w:r w:rsidR="00BB2719">
        <w:t>xample</w:t>
      </w:r>
      <w:r>
        <w:t xml:space="preserve"> minimum beam peak EIS </w:t>
      </w:r>
      <w:r w:rsidR="00BB2719">
        <w:t>derivation</w:t>
      </w:r>
      <w:r>
        <w:t xml:space="preserve"> for FWA </w:t>
      </w:r>
      <w:r w:rsidR="00BB2719">
        <w:t xml:space="preserve">devices on a stationary platform </w:t>
      </w:r>
      <w:r>
        <w:t>yield</w:t>
      </w:r>
      <w:r w:rsidR="00742EA3">
        <w:t>s</w:t>
      </w:r>
    </w:p>
    <w:p w:rsidR="00B1337A" w:rsidRDefault="00B1337A" w:rsidP="00B1337A">
      <w:pPr>
        <w:pStyle w:val="ListParagraph"/>
        <w:overflowPunct/>
        <w:autoSpaceDE/>
        <w:autoSpaceDN/>
        <w:adjustRightInd/>
        <w:spacing w:before="360" w:after="0"/>
        <w:ind w:left="0"/>
        <w:textAlignment w:val="auto"/>
      </w:pPr>
      <w:r>
        <w:t>-9</w:t>
      </w:r>
      <w:r w:rsidR="00BB2719">
        <w:t>5</w:t>
      </w:r>
      <w:r>
        <w:t>.</w:t>
      </w:r>
      <w:r w:rsidR="00BB2719">
        <w:t>5</w:t>
      </w:r>
      <w:r>
        <w:t>1 dBm for 28GHz, and -</w:t>
      </w:r>
      <w:r w:rsidR="00795E5A">
        <w:t>9</w:t>
      </w:r>
      <w:r w:rsidR="00BB2719">
        <w:t>2</w:t>
      </w:r>
      <w:r>
        <w:t>.</w:t>
      </w:r>
      <w:r w:rsidR="00BB2719">
        <w:t>5</w:t>
      </w:r>
      <w:r>
        <w:t xml:space="preserve">1 dBm for 39GHz. This represents </w:t>
      </w:r>
      <w:r w:rsidR="00BB2719">
        <w:t>a difference of about</w:t>
      </w:r>
      <w:r>
        <w:t xml:space="preserve"> </w:t>
      </w:r>
      <w:r w:rsidR="00BB2719">
        <w:t>10</w:t>
      </w:r>
      <w:r>
        <w:t xml:space="preserve"> dB from our handheld device values.</w:t>
      </w:r>
    </w:p>
    <w:p w:rsidR="00B1337A" w:rsidRDefault="00B1337A" w:rsidP="00B1337A">
      <w:pPr>
        <w:pStyle w:val="ListParagraph"/>
        <w:overflowPunct/>
        <w:autoSpaceDE/>
        <w:autoSpaceDN/>
        <w:adjustRightInd/>
        <w:spacing w:before="360" w:after="0"/>
        <w:ind w:left="0"/>
        <w:textAlignment w:val="auto"/>
      </w:pPr>
    </w:p>
    <w:p w:rsidR="00B1337A" w:rsidRPr="000C16A6" w:rsidRDefault="00B1337A" w:rsidP="00B1337A">
      <w:pPr>
        <w:pStyle w:val="ListParagraph"/>
        <w:overflowPunct/>
        <w:autoSpaceDE/>
        <w:autoSpaceDN/>
        <w:adjustRightInd/>
        <w:spacing w:after="0"/>
        <w:ind w:left="0"/>
        <w:textAlignment w:val="auto"/>
      </w:pPr>
      <w:r w:rsidRPr="000C16A6">
        <w:rPr>
          <w:b/>
        </w:rPr>
        <w:t>Proposal 1:</w:t>
      </w:r>
      <w:r w:rsidRPr="000C16A6">
        <w:t xml:space="preserve"> </w:t>
      </w:r>
      <w:r w:rsidR="00BB2719">
        <w:t xml:space="preserve">Define the minimum beam peak EIS requirement for FWA </w:t>
      </w:r>
      <w:r w:rsidR="00A8066A">
        <w:t>o</w:t>
      </w:r>
      <w:r w:rsidR="00BB2719">
        <w:t xml:space="preserve">n a </w:t>
      </w:r>
      <w:r w:rsidR="00A8066A">
        <w:t>stationary</w:t>
      </w:r>
      <w:r w:rsidR="00BB2719">
        <w:t xml:space="preserve"> platform as -95.51 dBm for 28 GHz, and -92.51 dBm for 39 GHz</w:t>
      </w:r>
      <w:r>
        <w:t>.</w:t>
      </w:r>
    </w:p>
    <w:p w:rsidR="00B1337A" w:rsidRDefault="00B1337A" w:rsidP="00742EA3">
      <w:pPr>
        <w:spacing w:after="0"/>
        <w:rPr>
          <w:b/>
        </w:rPr>
      </w:pPr>
    </w:p>
    <w:p w:rsidR="00B1337A" w:rsidRPr="00167417" w:rsidRDefault="00B1337A" w:rsidP="00B1337A">
      <w:pPr>
        <w:spacing w:after="0"/>
      </w:pPr>
      <w:r w:rsidRPr="00167417">
        <w:t xml:space="preserve">We need to </w:t>
      </w:r>
      <w:r w:rsidR="0009416E" w:rsidRPr="00167417">
        <w:t>pay attention to any</w:t>
      </w:r>
      <w:r w:rsidRPr="00167417">
        <w:t xml:space="preserve"> potential impact the new FWA UE type may have on RAN4 req</w:t>
      </w:r>
      <w:r w:rsidR="00167417" w:rsidRPr="00167417">
        <w:t xml:space="preserve">uirements. There will </w:t>
      </w:r>
      <w:r w:rsidRPr="00167417">
        <w:t xml:space="preserve">be implications on testability and spherical coverage studies, as measurements must now take into account the fixed nature of the device and typical surrounding materials. From a co-existence perspective, </w:t>
      </w:r>
      <w:r w:rsidR="0009416E" w:rsidRPr="00167417">
        <w:t>studies for +55dBm CPE have already been concluded with no issues reported,</w:t>
      </w:r>
      <w:r w:rsidR="00167417" w:rsidRPr="00167417">
        <w:t xml:space="preserve"> thus</w:t>
      </w:r>
      <w:r w:rsidR="0009416E" w:rsidRPr="00167417">
        <w:t xml:space="preserve"> </w:t>
      </w:r>
      <w:r w:rsidRPr="00167417">
        <w:t>no additional work is needed [</w:t>
      </w:r>
      <w:r w:rsidR="00BA1923">
        <w:t>11</w:t>
      </w:r>
      <w:r w:rsidRPr="00167417">
        <w:t>].</w:t>
      </w:r>
    </w:p>
    <w:p w:rsidR="00B1337A" w:rsidRPr="00167417" w:rsidRDefault="00B1337A" w:rsidP="00B1337A">
      <w:pPr>
        <w:spacing w:after="0"/>
      </w:pPr>
    </w:p>
    <w:p w:rsidR="00B1337A" w:rsidRPr="00C538DD" w:rsidRDefault="00B1337A" w:rsidP="00B1337A">
      <w:pPr>
        <w:spacing w:after="0"/>
      </w:pPr>
      <w:r w:rsidRPr="00167417">
        <w:t>The im</w:t>
      </w:r>
      <w:r w:rsidR="00167417" w:rsidRPr="00167417">
        <w:t>pact on UE requirements we discuss</w:t>
      </w:r>
      <w:r w:rsidRPr="00167417">
        <w:t xml:space="preserve">ed so far is not comprehensive. </w:t>
      </w:r>
      <w:r w:rsidR="00167417" w:rsidRPr="00167417">
        <w:t>A</w:t>
      </w:r>
      <w:r w:rsidRPr="00167417">
        <w:t>dditional topics are not precluded from future discussions. It is also important to note that there may be required features for handheld devices that can be made optional for FWA devices. These need to be discussed, agreed and documented.</w:t>
      </w:r>
    </w:p>
    <w:p w:rsidR="00B1337A" w:rsidRDefault="00B1337A" w:rsidP="00B1337A">
      <w:pPr>
        <w:spacing w:after="0"/>
      </w:pPr>
    </w:p>
    <w:p w:rsidR="00B1337A" w:rsidRDefault="00B1337A" w:rsidP="00B1337A">
      <w:pPr>
        <w:spacing w:after="0"/>
      </w:pPr>
      <w:r w:rsidRPr="002A1606">
        <w:rPr>
          <w:b/>
        </w:rPr>
        <w:t>Observation</w:t>
      </w:r>
      <w:r>
        <w:rPr>
          <w:b/>
        </w:rPr>
        <w:t xml:space="preserve"> </w:t>
      </w:r>
      <w:r w:rsidR="00742EA3">
        <w:rPr>
          <w:b/>
        </w:rPr>
        <w:t>2</w:t>
      </w:r>
      <w:r w:rsidRPr="002A1606">
        <w:rPr>
          <w:b/>
        </w:rPr>
        <w:t>:</w:t>
      </w:r>
      <w:r w:rsidRPr="000C16A6">
        <w:t xml:space="preserve"> </w:t>
      </w:r>
      <w:r>
        <w:t xml:space="preserve">Companies are </w:t>
      </w:r>
      <w:r w:rsidRPr="000C16A6">
        <w:t>encourage</w:t>
      </w:r>
      <w:r>
        <w:t>d</w:t>
      </w:r>
      <w:r w:rsidRPr="000C16A6">
        <w:t xml:space="preserve"> to include additional </w:t>
      </w:r>
      <w:r>
        <w:t>topics</w:t>
      </w:r>
      <w:r w:rsidRPr="000C16A6">
        <w:t xml:space="preserve"> of interest</w:t>
      </w:r>
      <w:r>
        <w:t xml:space="preserve"> that may impact FWA requirements for discussion in upcoming meetings.</w:t>
      </w:r>
    </w:p>
    <w:p w:rsidR="00B1337A" w:rsidRDefault="00B1337A" w:rsidP="00B1337A">
      <w:pPr>
        <w:spacing w:after="0"/>
        <w:rPr>
          <w:b/>
        </w:rPr>
      </w:pPr>
    </w:p>
    <w:p w:rsidR="00B1337A" w:rsidRPr="000C16A6" w:rsidRDefault="00B1337A" w:rsidP="00B1337A">
      <w:pPr>
        <w:spacing w:after="0"/>
        <w:rPr>
          <w:rFonts w:eastAsia="Batang"/>
        </w:rPr>
      </w:pPr>
      <w:r w:rsidRPr="000C16A6">
        <w:rPr>
          <w:b/>
        </w:rPr>
        <w:t>Proposal 2:</w:t>
      </w:r>
      <w:r>
        <w:t xml:space="preserve"> We should r</w:t>
      </w:r>
      <w:r w:rsidRPr="000C16A6">
        <w:t>evisit</w:t>
      </w:r>
      <w:r>
        <w:t xml:space="preserve"> the required handheld device features</w:t>
      </w:r>
      <w:r w:rsidRPr="000C16A6">
        <w:t xml:space="preserve"> </w:t>
      </w:r>
      <w:r>
        <w:t>and determine which ones</w:t>
      </w:r>
      <w:r w:rsidRPr="000C16A6">
        <w:t xml:space="preserve"> </w:t>
      </w:r>
      <w:r>
        <w:t>can</w:t>
      </w:r>
      <w:r w:rsidRPr="000C16A6">
        <w:t xml:space="preserve"> be defined as optional capabilities for </w:t>
      </w:r>
      <w:r>
        <w:t>FWA devices.</w:t>
      </w:r>
    </w:p>
    <w:p w:rsidR="00EC4EFE" w:rsidRDefault="00EC4EFE" w:rsidP="00EC4EFE">
      <w:pPr>
        <w:spacing w:after="0"/>
        <w:rPr>
          <w:rFonts w:eastAsia="Batang"/>
        </w:rPr>
      </w:pPr>
    </w:p>
    <w:p w:rsidR="00EC4EFE" w:rsidRDefault="00EC4EFE" w:rsidP="00EC4EFE">
      <w:pPr>
        <w:pStyle w:val="Heading1"/>
        <w:rPr>
          <w:rFonts w:eastAsia="Batang"/>
        </w:rPr>
      </w:pPr>
      <w:r>
        <w:rPr>
          <w:rFonts w:eastAsia="Batang"/>
        </w:rPr>
        <w:t>3</w:t>
      </w:r>
      <w:r>
        <w:rPr>
          <w:rFonts w:eastAsia="Batang"/>
        </w:rPr>
        <w:tab/>
        <w:t>Conclusions</w:t>
      </w:r>
    </w:p>
    <w:p w:rsidR="00EC4EFE" w:rsidRDefault="007B075F" w:rsidP="00742EA3">
      <w:pPr>
        <w:spacing w:after="0"/>
        <w:rPr>
          <w:rFonts w:eastAsia="Batang"/>
        </w:rPr>
      </w:pPr>
      <w:r w:rsidRPr="00167417">
        <w:rPr>
          <w:rFonts w:eastAsia="Batang"/>
        </w:rPr>
        <w:t>In t</w:t>
      </w:r>
      <w:r w:rsidR="00EC4EFE" w:rsidRPr="00167417">
        <w:rPr>
          <w:rFonts w:eastAsia="Batang"/>
        </w:rPr>
        <w:t xml:space="preserve">his paper </w:t>
      </w:r>
      <w:r w:rsidRPr="00167417">
        <w:rPr>
          <w:rFonts w:eastAsia="Batang"/>
        </w:rPr>
        <w:t xml:space="preserve">we presented </w:t>
      </w:r>
      <w:r w:rsidR="00891A33" w:rsidRPr="00167417">
        <w:rPr>
          <w:rFonts w:eastAsia="Batang"/>
        </w:rPr>
        <w:t xml:space="preserve">initial REFSENS framework for fixed wireless access devices and discussed possible impact of the UE type on </w:t>
      </w:r>
      <w:r w:rsidR="00167417" w:rsidRPr="00167417">
        <w:rPr>
          <w:rFonts w:eastAsia="Batang"/>
        </w:rPr>
        <w:t xml:space="preserve">RAN4 </w:t>
      </w:r>
      <w:r w:rsidR="00891A33" w:rsidRPr="00167417">
        <w:rPr>
          <w:rFonts w:eastAsia="Batang"/>
        </w:rPr>
        <w:t>requirements</w:t>
      </w:r>
      <w:r w:rsidR="00EC4EFE" w:rsidRPr="00167417">
        <w:rPr>
          <w:rFonts w:eastAsia="Batang"/>
        </w:rPr>
        <w:t xml:space="preserve">. </w:t>
      </w:r>
      <w:r w:rsidR="00167417" w:rsidRPr="00167417">
        <w:rPr>
          <w:rFonts w:eastAsia="Batang"/>
        </w:rPr>
        <w:t xml:space="preserve">We also an example table of peak EIS parameters, along with preliminary derivations. </w:t>
      </w:r>
      <w:r w:rsidR="00EC4EFE" w:rsidRPr="00167417">
        <w:rPr>
          <w:rFonts w:eastAsia="Batang"/>
        </w:rPr>
        <w:t>The following observations and proposals have been made:</w:t>
      </w:r>
    </w:p>
    <w:p w:rsidR="00EC4EFE" w:rsidRDefault="00EC4EFE" w:rsidP="00742EA3">
      <w:pPr>
        <w:spacing w:after="0"/>
        <w:rPr>
          <w:rFonts w:eastAsia="Batang"/>
        </w:rPr>
      </w:pPr>
    </w:p>
    <w:p w:rsidR="00742EA3" w:rsidRDefault="00742EA3" w:rsidP="00742EA3">
      <w:pPr>
        <w:pStyle w:val="ListParagraph"/>
        <w:overflowPunct/>
        <w:autoSpaceDE/>
        <w:autoSpaceDN/>
        <w:adjustRightInd/>
        <w:spacing w:after="0"/>
        <w:ind w:left="0"/>
        <w:textAlignment w:val="auto"/>
      </w:pPr>
      <w:r>
        <w:rPr>
          <w:b/>
        </w:rPr>
        <w:t>O</w:t>
      </w:r>
      <w:r w:rsidRPr="000C16A6">
        <w:rPr>
          <w:b/>
        </w:rPr>
        <w:t xml:space="preserve">bservation </w:t>
      </w:r>
      <w:r>
        <w:rPr>
          <w:b/>
        </w:rPr>
        <w:t>1</w:t>
      </w:r>
      <w:r w:rsidRPr="000C16A6">
        <w:rPr>
          <w:b/>
        </w:rPr>
        <w:t>:</w:t>
      </w:r>
      <w:r w:rsidRPr="000C16A6">
        <w:t xml:space="preserve"> </w:t>
      </w:r>
      <w:r>
        <w:t>The example minimum beam peak EIS derivation for FWA devices on a stationary platform yields</w:t>
      </w:r>
    </w:p>
    <w:p w:rsidR="00742EA3" w:rsidRDefault="00742EA3" w:rsidP="00742EA3">
      <w:pPr>
        <w:pStyle w:val="ListParagraph"/>
        <w:overflowPunct/>
        <w:autoSpaceDE/>
        <w:autoSpaceDN/>
        <w:adjustRightInd/>
        <w:spacing w:after="0"/>
        <w:ind w:left="0"/>
        <w:textAlignment w:val="auto"/>
      </w:pPr>
      <w:r>
        <w:t>-95.51 dBm for 28</w:t>
      </w:r>
      <w:r>
        <w:t xml:space="preserve"> </w:t>
      </w:r>
      <w:r>
        <w:t>GHz, and -92.51 dBm for 39</w:t>
      </w:r>
      <w:r>
        <w:t xml:space="preserve"> </w:t>
      </w:r>
      <w:r>
        <w:t>GHz. This represents a difference of about 10 dB from our handheld device values.</w:t>
      </w:r>
    </w:p>
    <w:p w:rsidR="00742EA3" w:rsidRDefault="00742EA3" w:rsidP="00742EA3">
      <w:pPr>
        <w:pStyle w:val="ListParagraph"/>
        <w:overflowPunct/>
        <w:autoSpaceDE/>
        <w:autoSpaceDN/>
        <w:adjustRightInd/>
        <w:spacing w:after="0"/>
        <w:ind w:left="0"/>
        <w:textAlignment w:val="auto"/>
        <w:rPr>
          <w:b/>
        </w:rPr>
      </w:pPr>
    </w:p>
    <w:p w:rsidR="002C3CFB" w:rsidRDefault="00742EA3" w:rsidP="00742EA3">
      <w:pPr>
        <w:pStyle w:val="ListParagraph"/>
        <w:overflowPunct/>
        <w:autoSpaceDE/>
        <w:autoSpaceDN/>
        <w:adjustRightInd/>
        <w:spacing w:after="0"/>
        <w:ind w:left="0"/>
        <w:textAlignment w:val="auto"/>
      </w:pPr>
      <w:r w:rsidRPr="000C16A6">
        <w:rPr>
          <w:b/>
        </w:rPr>
        <w:t>Proposal 1:</w:t>
      </w:r>
      <w:r w:rsidRPr="000C16A6">
        <w:t xml:space="preserve"> </w:t>
      </w:r>
      <w:r>
        <w:t xml:space="preserve">Define the minimum beam peak EIS requirement for FWA </w:t>
      </w:r>
      <w:r w:rsidR="00A8066A">
        <w:t>o</w:t>
      </w:r>
      <w:r>
        <w:t xml:space="preserve">n a </w:t>
      </w:r>
      <w:r w:rsidR="00A8066A">
        <w:t>stationary</w:t>
      </w:r>
      <w:r>
        <w:t xml:space="preserve"> platform as -95.51 dBm for 28 GHz, and -92.51 dBm for 39 GHz.</w:t>
      </w:r>
    </w:p>
    <w:p w:rsidR="00EC4EFE" w:rsidRDefault="00EC4EFE" w:rsidP="00EC4EFE">
      <w:pPr>
        <w:spacing w:after="0"/>
        <w:rPr>
          <w:rFonts w:eastAsia="Batang"/>
        </w:rPr>
      </w:pPr>
    </w:p>
    <w:p w:rsidR="00742EA3" w:rsidRDefault="00742EA3" w:rsidP="00742EA3">
      <w:pPr>
        <w:spacing w:after="0"/>
      </w:pPr>
      <w:r w:rsidRPr="002A1606">
        <w:rPr>
          <w:b/>
        </w:rPr>
        <w:t>Observation</w:t>
      </w:r>
      <w:r>
        <w:rPr>
          <w:b/>
        </w:rPr>
        <w:t xml:space="preserve"> 2</w:t>
      </w:r>
      <w:r w:rsidRPr="002A1606">
        <w:rPr>
          <w:b/>
        </w:rPr>
        <w:t>:</w:t>
      </w:r>
      <w:r w:rsidRPr="000C16A6">
        <w:t xml:space="preserve"> </w:t>
      </w:r>
      <w:r>
        <w:t xml:space="preserve">Companies are </w:t>
      </w:r>
      <w:r w:rsidRPr="000C16A6">
        <w:t>encourage</w:t>
      </w:r>
      <w:r>
        <w:t>d</w:t>
      </w:r>
      <w:r w:rsidRPr="000C16A6">
        <w:t xml:space="preserve"> to include additional </w:t>
      </w:r>
      <w:r>
        <w:t>topics</w:t>
      </w:r>
      <w:r w:rsidRPr="000C16A6">
        <w:t xml:space="preserve"> of interest</w:t>
      </w:r>
      <w:r>
        <w:t xml:space="preserve"> that may impact FWA requirements for discussion in upcoming meetings.</w:t>
      </w:r>
    </w:p>
    <w:p w:rsidR="00742EA3" w:rsidRDefault="00742EA3" w:rsidP="00742EA3">
      <w:pPr>
        <w:spacing w:after="0"/>
        <w:rPr>
          <w:b/>
        </w:rPr>
      </w:pPr>
    </w:p>
    <w:p w:rsidR="00EC4EFE" w:rsidRDefault="00742EA3" w:rsidP="00742EA3">
      <w:pPr>
        <w:spacing w:after="0"/>
        <w:rPr>
          <w:rFonts w:eastAsia="Batang"/>
        </w:rPr>
      </w:pPr>
      <w:r w:rsidRPr="000C16A6">
        <w:rPr>
          <w:b/>
        </w:rPr>
        <w:t>Proposal 2:</w:t>
      </w:r>
      <w:r>
        <w:t xml:space="preserve"> We should r</w:t>
      </w:r>
      <w:r w:rsidRPr="000C16A6">
        <w:t>evisit</w:t>
      </w:r>
      <w:r>
        <w:t xml:space="preserve"> the required handheld device features</w:t>
      </w:r>
      <w:r w:rsidRPr="000C16A6">
        <w:t xml:space="preserve"> </w:t>
      </w:r>
      <w:r>
        <w:t>and determine which ones</w:t>
      </w:r>
      <w:r w:rsidRPr="000C16A6">
        <w:t xml:space="preserve"> </w:t>
      </w:r>
      <w:r>
        <w:t>can</w:t>
      </w:r>
      <w:r w:rsidRPr="000C16A6">
        <w:t xml:space="preserve"> be defined as optional capabilities for </w:t>
      </w:r>
      <w:r>
        <w:t>FWA devices.</w:t>
      </w:r>
    </w:p>
    <w:p w:rsidR="00EC4EFE" w:rsidRPr="00E64F9B" w:rsidRDefault="00EC4EFE" w:rsidP="00EC4EFE">
      <w:pPr>
        <w:pStyle w:val="Heading1"/>
        <w:spacing w:after="0"/>
        <w:rPr>
          <w:rFonts w:ascii="Times New Roman" w:hAnsi="Times New Roman"/>
          <w:sz w:val="20"/>
        </w:rPr>
      </w:pPr>
    </w:p>
    <w:p w:rsidR="00EC4EFE" w:rsidRDefault="00EC4EFE" w:rsidP="00EC4EFE">
      <w:pPr>
        <w:pStyle w:val="Heading1"/>
        <w:spacing w:before="0"/>
      </w:pPr>
      <w:r>
        <w:t>4</w:t>
      </w:r>
      <w:r>
        <w:tab/>
        <w:t>References</w:t>
      </w:r>
    </w:p>
    <w:p w:rsidR="00726CC3" w:rsidRDefault="00726CC3" w:rsidP="00EC4EFE">
      <w:pPr>
        <w:numPr>
          <w:ilvl w:val="0"/>
          <w:numId w:val="1"/>
        </w:numPr>
        <w:spacing w:after="0"/>
      </w:pPr>
      <w:r>
        <w:t>R4-1714445, “WF on pi/2 BPSK spectrum shaping and power class in FR2,” Intel Corporation, Apple, Qualcomm, IITH, LGE, Nokia, Huawei, Motorola Mobility, 3GPP RAN4 #85, November 2017</w:t>
      </w:r>
    </w:p>
    <w:p w:rsidR="00726CC3" w:rsidRDefault="00726CC3" w:rsidP="00726CC3">
      <w:pPr>
        <w:numPr>
          <w:ilvl w:val="0"/>
          <w:numId w:val="1"/>
        </w:numPr>
        <w:spacing w:after="0"/>
      </w:pPr>
      <w:r>
        <w:t>R4-1714448, “WF on FR2 REFSENS,” Intel Corporation, 3GPP RAN4 #85, November 2017</w:t>
      </w:r>
    </w:p>
    <w:p w:rsidR="00726CC3" w:rsidRDefault="00726CC3" w:rsidP="00726CC3">
      <w:pPr>
        <w:numPr>
          <w:ilvl w:val="0"/>
          <w:numId w:val="1"/>
        </w:numPr>
        <w:spacing w:after="0"/>
      </w:pPr>
      <w:r>
        <w:t>R4-1801106, “WF peak EIRP requirement for mmW,” Qualcomm,  RAN4 AH-1801, January 2018</w:t>
      </w:r>
    </w:p>
    <w:p w:rsidR="00DC2C7A" w:rsidRDefault="00DC2C7A" w:rsidP="00DC2C7A">
      <w:pPr>
        <w:widowControl w:val="0"/>
        <w:numPr>
          <w:ilvl w:val="0"/>
          <w:numId w:val="1"/>
        </w:numPr>
        <w:overflowPunct/>
        <w:autoSpaceDE/>
        <w:autoSpaceDN/>
        <w:adjustRightInd/>
        <w:spacing w:after="0"/>
        <w:textAlignment w:val="auto"/>
      </w:pPr>
      <w:bookmarkStart w:id="1" w:name="_Ref510392614"/>
      <w:bookmarkStart w:id="2" w:name="_Ref510392633"/>
      <w:r>
        <w:t>R4-1803372, “</w:t>
      </w:r>
      <w:r w:rsidRPr="00D27124">
        <w:t>WF on output power requirements on FR2</w:t>
      </w:r>
      <w:r>
        <w:t xml:space="preserve">,” </w:t>
      </w:r>
      <w:r w:rsidRPr="00D27124">
        <w:t xml:space="preserve">Qualcomm, Samsung, Verizon, AT&amp;T, T-Mobile USA, NXP, DISH, Orange, ZTE, US Cellular, C Spire, Ericsson, Telstra, KT, Nokia, Vodafone, </w:t>
      </w:r>
      <w:proofErr w:type="spellStart"/>
      <w:r w:rsidRPr="00D27124">
        <w:t>Mavenir</w:t>
      </w:r>
      <w:proofErr w:type="spellEnd"/>
      <w:r w:rsidRPr="00D27124">
        <w:t xml:space="preserve">, Telecom Italia, Reliance </w:t>
      </w:r>
      <w:proofErr w:type="spellStart"/>
      <w:r w:rsidRPr="00D27124">
        <w:t>Jio</w:t>
      </w:r>
      <w:proofErr w:type="spellEnd"/>
      <w:r w:rsidRPr="00D27124">
        <w:t xml:space="preserve">, IITH, IITM, </w:t>
      </w:r>
      <w:proofErr w:type="spellStart"/>
      <w:r w:rsidRPr="00D27124">
        <w:t>CEWiT</w:t>
      </w:r>
      <w:proofErr w:type="spellEnd"/>
      <w:r w:rsidRPr="00D27124">
        <w:t xml:space="preserve">, </w:t>
      </w:r>
      <w:proofErr w:type="spellStart"/>
      <w:r w:rsidRPr="00D27124">
        <w:t>Tejas</w:t>
      </w:r>
      <w:proofErr w:type="spellEnd"/>
      <w:r w:rsidRPr="00D27124">
        <w:t xml:space="preserve"> Networks</w:t>
      </w:r>
      <w:r>
        <w:t>, 3GPP RAN4 #86, February 2018</w:t>
      </w:r>
      <w:bookmarkEnd w:id="1"/>
    </w:p>
    <w:p w:rsidR="003622D0" w:rsidRDefault="00DC2C7A" w:rsidP="00DC2C7A">
      <w:pPr>
        <w:numPr>
          <w:ilvl w:val="0"/>
          <w:numId w:val="1"/>
        </w:numPr>
        <w:spacing w:after="0"/>
      </w:pPr>
      <w:r w:rsidRPr="00AA59DF">
        <w:t>R4-1803460</w:t>
      </w:r>
      <w:r>
        <w:t>, “</w:t>
      </w:r>
      <w:r w:rsidRPr="00C40265">
        <w:t>WF on FR2 peak EIRP for handheld UE</w:t>
      </w:r>
      <w:r>
        <w:t xml:space="preserve">,” </w:t>
      </w:r>
      <w:r w:rsidRPr="00C40265">
        <w:t xml:space="preserve">Intel, Xiaomi, OPPO, vivo, </w:t>
      </w:r>
      <w:proofErr w:type="spellStart"/>
      <w:r w:rsidRPr="00C40265">
        <w:t>Media</w:t>
      </w:r>
      <w:r>
        <w:t>Tek</w:t>
      </w:r>
      <w:proofErr w:type="spellEnd"/>
      <w:r>
        <w:t>,</w:t>
      </w:r>
      <w:r w:rsidRPr="00C40265">
        <w:t xml:space="preserve"> LGE, Apple, </w:t>
      </w:r>
      <w:proofErr w:type="spellStart"/>
      <w:r w:rsidRPr="00C40265">
        <w:t>Qorvo</w:t>
      </w:r>
      <w:proofErr w:type="spellEnd"/>
      <w:r>
        <w:t>, 3GPP RAN4 #86, February 2018</w:t>
      </w:r>
      <w:bookmarkEnd w:id="2"/>
    </w:p>
    <w:p w:rsidR="00726CC3" w:rsidRDefault="00726CC3" w:rsidP="00726CC3">
      <w:pPr>
        <w:numPr>
          <w:ilvl w:val="0"/>
          <w:numId w:val="1"/>
        </w:numPr>
        <w:spacing w:after="0"/>
      </w:pPr>
      <w:r>
        <w:t>R4-1801191, “WF on Fixed wireless access use case for FR2,” Intel Corporation, Verizon, January 2018</w:t>
      </w:r>
    </w:p>
    <w:p w:rsidR="003622D0" w:rsidRDefault="00DC2C7A" w:rsidP="00167417">
      <w:pPr>
        <w:numPr>
          <w:ilvl w:val="0"/>
          <w:numId w:val="1"/>
        </w:numPr>
        <w:spacing w:after="0"/>
      </w:pPr>
      <w:r>
        <w:lastRenderedPageBreak/>
        <w:t>R4-1801789, “On FR2 REFSENS for FWA devices,” Intel Corporation, RAN4 #86, February 2018</w:t>
      </w:r>
    </w:p>
    <w:p w:rsidR="00167417" w:rsidRDefault="00167417" w:rsidP="00167417">
      <w:pPr>
        <w:numPr>
          <w:ilvl w:val="0"/>
          <w:numId w:val="1"/>
        </w:numPr>
        <w:spacing w:after="0"/>
      </w:pPr>
      <w:r>
        <w:t>R4-1712101, “RAN4#84Bis Meeting report,” October 2017</w:t>
      </w:r>
    </w:p>
    <w:p w:rsidR="000801ED" w:rsidRDefault="000801ED" w:rsidP="00EC4EFE">
      <w:pPr>
        <w:numPr>
          <w:ilvl w:val="0"/>
          <w:numId w:val="1"/>
        </w:numPr>
        <w:spacing w:after="0"/>
      </w:pPr>
      <w:bookmarkStart w:id="3" w:name="_Ref476813621"/>
      <w:bookmarkStart w:id="4" w:name="_Ref476814267"/>
      <w:r>
        <w:t>FCC 16-89</w:t>
      </w:r>
      <w:bookmarkEnd w:id="3"/>
      <w:bookmarkEnd w:id="4"/>
    </w:p>
    <w:p w:rsidR="00E43A07" w:rsidRDefault="00E43A07" w:rsidP="00EC4EFE">
      <w:pPr>
        <w:numPr>
          <w:ilvl w:val="0"/>
          <w:numId w:val="1"/>
        </w:numPr>
        <w:spacing w:after="0"/>
      </w:pPr>
      <w:r>
        <w:t>R4-180</w:t>
      </w:r>
      <w:r w:rsidR="00BA1923">
        <w:t>4124, “FR2 power class for FWA UE,” Intel Corporation, RAN4 #86-Bis, April 2018</w:t>
      </w:r>
    </w:p>
    <w:p w:rsidR="000801ED" w:rsidRPr="00120857" w:rsidRDefault="000801ED" w:rsidP="000801ED">
      <w:pPr>
        <w:numPr>
          <w:ilvl w:val="0"/>
          <w:numId w:val="1"/>
        </w:numPr>
        <w:spacing w:after="0"/>
      </w:pPr>
      <w:r w:rsidRPr="00F72A18">
        <w:rPr>
          <w:lang w:val="en-US"/>
        </w:rPr>
        <w:t>R4-1711861, “Summary of simulation results on Coexistence Studies for 55dBm CPE,” Ericsson, Qualcomm, Samsung, Verizon, Nokia, RAN4 #84bis, October 2017</w:t>
      </w:r>
    </w:p>
    <w:sectPr w:rsidR="000801ED" w:rsidRPr="00120857" w:rsidSect="00A05BED">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173" w:rsidRDefault="00A23173">
      <w:pPr>
        <w:spacing w:after="0"/>
      </w:pPr>
      <w:r>
        <w:separator/>
      </w:r>
    </w:p>
  </w:endnote>
  <w:endnote w:type="continuationSeparator" w:id="0">
    <w:p w:rsidR="00A23173" w:rsidRDefault="00A23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CBE" w:rsidRPr="00FB0969" w:rsidRDefault="00685CBE" w:rsidP="00A05BED">
    <w:pPr>
      <w:pStyle w:val="Footer"/>
    </w:pPr>
    <w:r>
      <w:rPr>
        <w:noProof w:val="0"/>
      </w:rPr>
      <w:fldChar w:fldCharType="begin"/>
    </w:r>
    <w:r>
      <w:rPr>
        <w:noProof w:val="0"/>
      </w:rPr>
      <w:instrText xml:space="preserve"> PAGE   \* MERGEFORMAT </w:instrText>
    </w:r>
    <w:r>
      <w:rPr>
        <w:noProof w:val="0"/>
      </w:rPr>
      <w:fldChar w:fldCharType="separate"/>
    </w:r>
    <w:r w:rsidR="00345E4E">
      <w:t>3</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345E4E">
      <w:t>4</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173" w:rsidRDefault="00A23173">
      <w:pPr>
        <w:spacing w:after="0"/>
      </w:pPr>
      <w:r>
        <w:separator/>
      </w:r>
    </w:p>
  </w:footnote>
  <w:footnote w:type="continuationSeparator" w:id="0">
    <w:p w:rsidR="00A23173" w:rsidRDefault="00A2317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4F3F17"/>
    <w:multiLevelType w:val="hybridMultilevel"/>
    <w:tmpl w:val="EDCC44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1CA8C27C">
      <w:start w:val="1"/>
      <w:numFmt w:val="bullet"/>
      <w:lvlText w:val=""/>
      <w:lvlJc w:val="left"/>
      <w:pPr>
        <w:ind w:left="2160" w:hanging="360"/>
      </w:pPr>
      <w:rPr>
        <w:rFonts w:ascii="Symbol" w:hAnsi="Symbo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3"/>
  </w:num>
  <w:num w:numId="4">
    <w:abstractNumId w:val="4"/>
  </w:num>
  <w:num w:numId="5">
    <w:abstractNumId w:val="0"/>
  </w:num>
  <w:num w:numId="6">
    <w:abstractNumId w:val="21"/>
  </w:num>
  <w:num w:numId="7">
    <w:abstractNumId w:val="12"/>
  </w:num>
  <w:num w:numId="8">
    <w:abstractNumId w:val="17"/>
  </w:num>
  <w:num w:numId="9">
    <w:abstractNumId w:val="2"/>
  </w:num>
  <w:num w:numId="10">
    <w:abstractNumId w:val="23"/>
  </w:num>
  <w:num w:numId="11">
    <w:abstractNumId w:val="9"/>
  </w:num>
  <w:num w:numId="12">
    <w:abstractNumId w:val="15"/>
  </w:num>
  <w:num w:numId="13">
    <w:abstractNumId w:val="16"/>
  </w:num>
  <w:num w:numId="14">
    <w:abstractNumId w:val="5"/>
  </w:num>
  <w:num w:numId="15">
    <w:abstractNumId w:val="6"/>
  </w:num>
  <w:num w:numId="16">
    <w:abstractNumId w:val="3"/>
  </w:num>
  <w:num w:numId="17">
    <w:abstractNumId w:val="7"/>
  </w:num>
  <w:num w:numId="18">
    <w:abstractNumId w:val="10"/>
  </w:num>
  <w:num w:numId="19">
    <w:abstractNumId w:val="14"/>
  </w:num>
  <w:num w:numId="20">
    <w:abstractNumId w:val="19"/>
  </w:num>
  <w:num w:numId="21">
    <w:abstractNumId w:val="11"/>
  </w:num>
  <w:num w:numId="22">
    <w:abstractNumId w:val="18"/>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2A2"/>
    <w:rsid w:val="000166C6"/>
    <w:rsid w:val="00016F41"/>
    <w:rsid w:val="000709CE"/>
    <w:rsid w:val="00071D48"/>
    <w:rsid w:val="00075311"/>
    <w:rsid w:val="000801ED"/>
    <w:rsid w:val="0009416E"/>
    <w:rsid w:val="000B3BF3"/>
    <w:rsid w:val="000F40E5"/>
    <w:rsid w:val="001105B4"/>
    <w:rsid w:val="00110EE1"/>
    <w:rsid w:val="0011636B"/>
    <w:rsid w:val="00120857"/>
    <w:rsid w:val="00121885"/>
    <w:rsid w:val="00125BBA"/>
    <w:rsid w:val="00133C02"/>
    <w:rsid w:val="0014351B"/>
    <w:rsid w:val="001622A2"/>
    <w:rsid w:val="00167417"/>
    <w:rsid w:val="001C0D67"/>
    <w:rsid w:val="002040B8"/>
    <w:rsid w:val="0021170A"/>
    <w:rsid w:val="00273BA5"/>
    <w:rsid w:val="00291722"/>
    <w:rsid w:val="00292CC7"/>
    <w:rsid w:val="00297543"/>
    <w:rsid w:val="002C3CFB"/>
    <w:rsid w:val="003151B0"/>
    <w:rsid w:val="00345E4E"/>
    <w:rsid w:val="00361747"/>
    <w:rsid w:val="003622D0"/>
    <w:rsid w:val="00372C0E"/>
    <w:rsid w:val="00385FC1"/>
    <w:rsid w:val="003C2084"/>
    <w:rsid w:val="004037BD"/>
    <w:rsid w:val="00456BE2"/>
    <w:rsid w:val="004A4C93"/>
    <w:rsid w:val="005737F5"/>
    <w:rsid w:val="005819D9"/>
    <w:rsid w:val="005C2871"/>
    <w:rsid w:val="005E41B7"/>
    <w:rsid w:val="005E4454"/>
    <w:rsid w:val="006064C8"/>
    <w:rsid w:val="00642159"/>
    <w:rsid w:val="00646096"/>
    <w:rsid w:val="0065143D"/>
    <w:rsid w:val="00661664"/>
    <w:rsid w:val="00665F71"/>
    <w:rsid w:val="00685CBE"/>
    <w:rsid w:val="006D0D71"/>
    <w:rsid w:val="006D54B8"/>
    <w:rsid w:val="007224CC"/>
    <w:rsid w:val="00726CC3"/>
    <w:rsid w:val="00742EA3"/>
    <w:rsid w:val="00792A63"/>
    <w:rsid w:val="00795E5A"/>
    <w:rsid w:val="007B075F"/>
    <w:rsid w:val="007C3CCE"/>
    <w:rsid w:val="007D5BE7"/>
    <w:rsid w:val="00823ECC"/>
    <w:rsid w:val="0084737B"/>
    <w:rsid w:val="008746A9"/>
    <w:rsid w:val="00891A33"/>
    <w:rsid w:val="00895F5A"/>
    <w:rsid w:val="008D1CA3"/>
    <w:rsid w:val="008E3FB3"/>
    <w:rsid w:val="008E4DA6"/>
    <w:rsid w:val="0098041C"/>
    <w:rsid w:val="009859CF"/>
    <w:rsid w:val="009E2199"/>
    <w:rsid w:val="009F005D"/>
    <w:rsid w:val="00A05BED"/>
    <w:rsid w:val="00A23173"/>
    <w:rsid w:val="00A529D5"/>
    <w:rsid w:val="00A8066A"/>
    <w:rsid w:val="00A968BD"/>
    <w:rsid w:val="00AC5A78"/>
    <w:rsid w:val="00B109D6"/>
    <w:rsid w:val="00B1337A"/>
    <w:rsid w:val="00B2535F"/>
    <w:rsid w:val="00B34785"/>
    <w:rsid w:val="00B931CE"/>
    <w:rsid w:val="00B97A61"/>
    <w:rsid w:val="00B97F23"/>
    <w:rsid w:val="00BA1923"/>
    <w:rsid w:val="00BB2719"/>
    <w:rsid w:val="00BD4082"/>
    <w:rsid w:val="00C24CDB"/>
    <w:rsid w:val="00D31B14"/>
    <w:rsid w:val="00D47921"/>
    <w:rsid w:val="00D712FE"/>
    <w:rsid w:val="00DA4B48"/>
    <w:rsid w:val="00DB423A"/>
    <w:rsid w:val="00DC2C7A"/>
    <w:rsid w:val="00E3415B"/>
    <w:rsid w:val="00E43A07"/>
    <w:rsid w:val="00E55B80"/>
    <w:rsid w:val="00EC4EFE"/>
    <w:rsid w:val="00ED071A"/>
    <w:rsid w:val="00ED1AC7"/>
    <w:rsid w:val="00F16C26"/>
    <w:rsid w:val="00F22CBF"/>
    <w:rsid w:val="00F3782D"/>
    <w:rsid w:val="00F72A18"/>
    <w:rsid w:val="00FC304B"/>
    <w:rsid w:val="00FF0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6295F0-7C74-410D-96A8-7586F314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2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1622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1622A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622A2"/>
    <w:rPr>
      <w:rFonts w:ascii="Arial" w:eastAsia="Times New Roman" w:hAnsi="Arial" w:cs="Times New Roman"/>
      <w:sz w:val="36"/>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1622A2"/>
    <w:rPr>
      <w:rFonts w:ascii="Arial" w:eastAsia="Times New Roman" w:hAnsi="Arial" w:cs="Times New Roman"/>
      <w:sz w:val="32"/>
      <w:szCs w:val="20"/>
      <w:lang w:val="en-GB" w:eastAsia="en-GB"/>
    </w:rPr>
  </w:style>
  <w:style w:type="character" w:customStyle="1" w:styleId="Heading2Char">
    <w:name w:val="Heading 2 Char"/>
    <w:basedOn w:val="DefaultParagraphFont"/>
    <w:uiPriority w:val="9"/>
    <w:semiHidden/>
    <w:rsid w:val="001622A2"/>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1622A2"/>
    <w:pPr>
      <w:widowControl w:val="0"/>
      <w:tabs>
        <w:tab w:val="clear" w:pos="4680"/>
        <w:tab w:val="clear" w:pos="9360"/>
      </w:tabs>
      <w:jc w:val="center"/>
    </w:pPr>
    <w:rPr>
      <w:rFonts w:ascii="Arial" w:hAnsi="Arial"/>
      <w:b/>
      <w:i/>
      <w:noProof/>
      <w:sz w:val="18"/>
    </w:rPr>
  </w:style>
  <w:style w:type="paragraph" w:styleId="Header">
    <w:name w:val="header"/>
    <w:basedOn w:val="Normal"/>
    <w:link w:val="HeaderChar"/>
    <w:uiPriority w:val="99"/>
    <w:unhideWhenUsed/>
    <w:rsid w:val="001622A2"/>
    <w:pPr>
      <w:tabs>
        <w:tab w:val="center" w:pos="4680"/>
        <w:tab w:val="right" w:pos="9360"/>
      </w:tabs>
      <w:spacing w:after="0"/>
    </w:pPr>
  </w:style>
  <w:style w:type="character" w:customStyle="1" w:styleId="HeaderChar">
    <w:name w:val="Header Char"/>
    <w:basedOn w:val="DefaultParagraphFont"/>
    <w:link w:val="Header"/>
    <w:uiPriority w:val="99"/>
    <w:rsid w:val="001622A2"/>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rsid w:val="001622A2"/>
    <w:rPr>
      <w:rFonts w:ascii="Arial" w:eastAsia="Times New Roman" w:hAnsi="Arial" w:cs="Times New Roman"/>
      <w:b/>
      <w:i/>
      <w:noProof/>
      <w:sz w:val="18"/>
      <w:szCs w:val="20"/>
      <w:lang w:val="en-GB" w:eastAsia="en-GB"/>
    </w:rPr>
  </w:style>
  <w:style w:type="paragraph" w:styleId="ListParagraph">
    <w:name w:val="List Paragraph"/>
    <w:basedOn w:val="Normal"/>
    <w:uiPriority w:val="34"/>
    <w:qFormat/>
    <w:rsid w:val="001622A2"/>
    <w:pPr>
      <w:ind w:left="720"/>
      <w:contextualSpacing/>
    </w:pPr>
  </w:style>
  <w:style w:type="paragraph" w:styleId="Caption">
    <w:name w:val="caption"/>
    <w:aliases w:val="cap"/>
    <w:basedOn w:val="Normal"/>
    <w:next w:val="Normal"/>
    <w:qFormat/>
    <w:rsid w:val="006D0D71"/>
    <w:pPr>
      <w:spacing w:before="120" w:after="120"/>
    </w:pPr>
    <w:rPr>
      <w:b/>
    </w:rPr>
  </w:style>
  <w:style w:type="character" w:styleId="Hyperlink">
    <w:name w:val="Hyperlink"/>
    <w:rsid w:val="006D0D71"/>
    <w:rPr>
      <w:color w:val="0000FF"/>
      <w:u w:val="single"/>
    </w:rPr>
  </w:style>
  <w:style w:type="character" w:customStyle="1" w:styleId="BalloonTextChar">
    <w:name w:val="Balloon Text Char"/>
    <w:basedOn w:val="DefaultParagraphFont"/>
    <w:link w:val="BalloonText"/>
    <w:uiPriority w:val="99"/>
    <w:semiHidden/>
    <w:rsid w:val="006D0D71"/>
    <w:rPr>
      <w:rFonts w:ascii="Segoe UI" w:eastAsia="Times New Roman" w:hAnsi="Segoe UI" w:cs="Segoe UI"/>
      <w:sz w:val="18"/>
      <w:szCs w:val="18"/>
      <w:lang w:val="en-GB" w:eastAsia="en-GB"/>
    </w:rPr>
  </w:style>
  <w:style w:type="paragraph" w:styleId="BalloonText">
    <w:name w:val="Balloon Text"/>
    <w:basedOn w:val="Normal"/>
    <w:link w:val="BalloonTextChar"/>
    <w:uiPriority w:val="99"/>
    <w:semiHidden/>
    <w:unhideWhenUsed/>
    <w:rsid w:val="006D0D71"/>
    <w:pPr>
      <w:spacing w:after="0"/>
    </w:pPr>
    <w:rPr>
      <w:rFonts w:ascii="Segoe UI" w:hAnsi="Segoe UI" w:cs="Segoe UI"/>
      <w:sz w:val="18"/>
      <w:szCs w:val="18"/>
    </w:rPr>
  </w:style>
  <w:style w:type="paragraph" w:styleId="CommentText">
    <w:name w:val="annotation text"/>
    <w:basedOn w:val="Normal"/>
    <w:link w:val="CommentTextChar"/>
    <w:uiPriority w:val="99"/>
    <w:semiHidden/>
    <w:unhideWhenUsed/>
    <w:rsid w:val="006D0D71"/>
  </w:style>
  <w:style w:type="character" w:customStyle="1" w:styleId="CommentTextChar">
    <w:name w:val="Comment Text Char"/>
    <w:basedOn w:val="DefaultParagraphFont"/>
    <w:link w:val="CommentText"/>
    <w:uiPriority w:val="99"/>
    <w:semiHidden/>
    <w:rsid w:val="006D0D71"/>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uiPriority w:val="99"/>
    <w:semiHidden/>
    <w:rsid w:val="006D0D71"/>
    <w:rPr>
      <w:rFonts w:ascii="Times New Roman" w:eastAsia="Times New Roman" w:hAnsi="Times New Roman" w:cs="Times New Roman"/>
      <w:b/>
      <w:bCs/>
      <w:sz w:val="20"/>
      <w:szCs w:val="20"/>
      <w:lang w:val="en-GB" w:eastAsia="en-GB"/>
    </w:rPr>
  </w:style>
  <w:style w:type="paragraph" w:styleId="CommentSubject">
    <w:name w:val="annotation subject"/>
    <w:basedOn w:val="CommentText"/>
    <w:next w:val="CommentText"/>
    <w:link w:val="CommentSubjectChar"/>
    <w:uiPriority w:val="99"/>
    <w:semiHidden/>
    <w:unhideWhenUsed/>
    <w:rsid w:val="006D0D71"/>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0D71"/>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D0D71"/>
    <w:rPr>
      <w:rFonts w:ascii="Times New Roman" w:eastAsia="SimSun" w:hAnsi="Times New Roman" w:cs="Times New Roman"/>
      <w:sz w:val="20"/>
      <w:szCs w:val="20"/>
      <w:lang w:val="en-GB"/>
    </w:rPr>
  </w:style>
  <w:style w:type="table" w:styleId="TableGrid">
    <w:name w:val="Table Grid"/>
    <w:basedOn w:val="TableNormal"/>
    <w:uiPriority w:val="39"/>
    <w:rsid w:val="006D0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1322</Words>
  <Characters>6884</Characters>
  <Application>Microsoft Office Word</Application>
  <DocSecurity>0</DocSecurity>
  <Lines>162</Lines>
  <Paragraphs>80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6</cp:revision>
  <dcterms:created xsi:type="dcterms:W3CDTF">2018-04-06T21:08:00Z</dcterms:created>
  <dcterms:modified xsi:type="dcterms:W3CDTF">2018-04-06T22:17:00Z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434cf2c3-5a31-49a1-b4bd-c68c7866b50b</vt:lpwstr>
  </property>
  <property fmtid="{D5CDD505-2E9C-101B-9397-08002B2CF9AE}" pid="3" name="CTP_TimeStamp">
    <vt:lpwstr>2018-04-06 22:17:19Z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